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9BA24">
      <w:pPr>
        <w:spacing w:line="300" w:lineRule="auto"/>
        <w:jc w:val="both"/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  <w:t>附件2</w:t>
      </w:r>
      <w:r>
        <w:rPr>
          <w:rFonts w:hint="eastAsia" w:ascii="Arial" w:hAnsi="Arial"/>
          <w:color w:val="auto"/>
          <w:spacing w:val="20"/>
          <w:sz w:val="24"/>
          <w:szCs w:val="24"/>
          <w:highlight w:val="none"/>
          <w:lang w:val="en-US" w:eastAsia="zh-CN"/>
        </w:rPr>
        <w:t>.1</w:t>
      </w:r>
      <w:r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  <w:t>：</w:t>
      </w:r>
    </w:p>
    <w:p w14:paraId="348EFAAF">
      <w:pPr>
        <w:spacing w:line="300" w:lineRule="auto"/>
        <w:jc w:val="both"/>
        <w:rPr>
          <w:rFonts w:hint="default" w:ascii="Arial" w:hAnsi="Arial" w:eastAsia="宋体"/>
          <w:color w:val="auto"/>
          <w:spacing w:val="20"/>
          <w:sz w:val="21"/>
          <w:szCs w:val="21"/>
          <w:highlight w:val="none"/>
          <w:lang w:val="en-US" w:eastAsia="zh-CN"/>
        </w:rPr>
      </w:pPr>
    </w:p>
    <w:p w14:paraId="6961335C">
      <w:pPr>
        <w:spacing w:line="300" w:lineRule="auto"/>
        <w:jc w:val="center"/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</w:pPr>
      <w:r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苏州高新区人民医院</w:t>
      </w:r>
      <w:r>
        <w:rPr>
          <w:rFonts w:hint="eastAsia" w:ascii="Arial" w:hAnsi="Arial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比价采购</w:t>
      </w:r>
      <w:r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项目报价单</w:t>
      </w:r>
    </w:p>
    <w:p w14:paraId="450CD657">
      <w:pPr>
        <w:spacing w:line="300" w:lineRule="auto"/>
        <w:jc w:val="center"/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</w:pPr>
    </w:p>
    <w:p w14:paraId="5745ECAE">
      <w:pPr>
        <w:pStyle w:val="2"/>
        <w:rPr>
          <w:color w:val="auto"/>
          <w:highlight w:val="none"/>
        </w:rPr>
      </w:pPr>
      <w:r>
        <w:rPr>
          <w:color w:val="auto"/>
          <w:highlight w:val="none"/>
        </w:rPr>
        <w:t>投标人全称（加盖公章）：</w:t>
      </w:r>
    </w:p>
    <w:p w14:paraId="79E9F47B">
      <w:pPr>
        <w:pStyle w:val="2"/>
        <w:rPr>
          <w:color w:val="auto"/>
          <w:highlight w:val="none"/>
        </w:rPr>
      </w:pPr>
      <w:r>
        <w:rPr>
          <w:color w:val="auto"/>
          <w:highlight w:val="none"/>
        </w:rPr>
        <w:t>项目编号： </w:t>
      </w:r>
    </w:p>
    <w:tbl>
      <w:tblPr>
        <w:tblStyle w:val="3"/>
        <w:tblpPr w:leftFromText="180" w:rightFromText="180" w:vertAnchor="text" w:horzAnchor="page" w:tblpX="709" w:tblpY="390"/>
        <w:tblOverlap w:val="never"/>
        <w:tblW w:w="110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2518"/>
        <w:gridCol w:w="1542"/>
        <w:gridCol w:w="3562"/>
        <w:gridCol w:w="2711"/>
      </w:tblGrid>
      <w:tr w14:paraId="03099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3" w:hRule="atLeast"/>
        </w:trPr>
        <w:tc>
          <w:tcPr>
            <w:tcW w:w="696" w:type="dxa"/>
            <w:noWrap/>
            <w:vAlign w:val="center"/>
          </w:tcPr>
          <w:p w14:paraId="707FBB90">
            <w:pPr>
              <w:pStyle w:val="2"/>
              <w:rPr>
                <w:rFonts w:hint="eastAsia"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序号</w:t>
            </w:r>
          </w:p>
        </w:tc>
        <w:tc>
          <w:tcPr>
            <w:tcW w:w="2518" w:type="dxa"/>
            <w:noWrap/>
            <w:vAlign w:val="center"/>
          </w:tcPr>
          <w:p w14:paraId="291B8269">
            <w:pPr>
              <w:pStyle w:val="2"/>
              <w:jc w:val="center"/>
              <w:rPr>
                <w:rFonts w:hint="eastAsia"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内容</w:t>
            </w:r>
          </w:p>
        </w:tc>
        <w:tc>
          <w:tcPr>
            <w:tcW w:w="1542" w:type="dxa"/>
            <w:noWrap/>
            <w:vAlign w:val="center"/>
          </w:tcPr>
          <w:p w14:paraId="6EAF2D41">
            <w:pPr>
              <w:pStyle w:val="2"/>
              <w:jc w:val="center"/>
              <w:rPr>
                <w:rFonts w:hint="eastAsia" w:ascii="宋体" w:hAnsi="宋体" w:eastAsia="宋体" w:cs="Times New Roman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  <w:lang w:val="en-US" w:eastAsia="zh-CN"/>
              </w:rPr>
              <w:t>服务期</w:t>
            </w:r>
          </w:p>
        </w:tc>
        <w:tc>
          <w:tcPr>
            <w:tcW w:w="3562" w:type="dxa"/>
            <w:noWrap/>
            <w:vAlign w:val="center"/>
          </w:tcPr>
          <w:p w14:paraId="02C31CC0">
            <w:pPr>
              <w:pStyle w:val="2"/>
              <w:ind w:firstLine="1200" w:firstLineChars="500"/>
              <w:jc w:val="both"/>
              <w:rPr>
                <w:rFonts w:hint="eastAsia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报</w:t>
            </w: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价</w:t>
            </w:r>
            <w:r>
              <w:rPr>
                <w:rFonts w:hint="eastAsia" w:cs="Times New Roman"/>
                <w:color w:val="auto"/>
                <w:highlight w:val="none"/>
                <w:lang w:eastAsia="zh-CN"/>
              </w:rPr>
              <w:t>（</w:t>
            </w: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元</w:t>
            </w:r>
            <w:r>
              <w:rPr>
                <w:rFonts w:hint="eastAsia" w:cs="Times New Roman"/>
                <w:color w:val="auto"/>
                <w:highlight w:val="none"/>
                <w:lang w:eastAsia="zh-CN"/>
              </w:rPr>
              <w:t>）</w:t>
            </w:r>
          </w:p>
        </w:tc>
        <w:tc>
          <w:tcPr>
            <w:tcW w:w="2711" w:type="dxa"/>
            <w:noWrap/>
            <w:vAlign w:val="center"/>
          </w:tcPr>
          <w:p w14:paraId="049DEBF9">
            <w:pPr>
              <w:pStyle w:val="2"/>
              <w:jc w:val="center"/>
              <w:rPr>
                <w:rFonts w:hint="eastAsia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  <w:lang w:val="en-US" w:eastAsia="zh-CN"/>
              </w:rPr>
              <w:t>备注</w:t>
            </w:r>
          </w:p>
        </w:tc>
      </w:tr>
      <w:tr w14:paraId="3FF01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9" w:hRule="atLeast"/>
        </w:trPr>
        <w:tc>
          <w:tcPr>
            <w:tcW w:w="696" w:type="dxa"/>
            <w:noWrap/>
            <w:vAlign w:val="center"/>
          </w:tcPr>
          <w:p w14:paraId="6A49673C">
            <w:pPr>
              <w:pStyle w:val="2"/>
              <w:jc w:val="center"/>
              <w:rPr>
                <w:rFonts w:hint="eastAsia"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1</w:t>
            </w:r>
          </w:p>
        </w:tc>
        <w:tc>
          <w:tcPr>
            <w:tcW w:w="2518" w:type="dxa"/>
            <w:noWrap/>
            <w:vAlign w:val="center"/>
          </w:tcPr>
          <w:p w14:paraId="49878D3A">
            <w:pPr>
              <w:pStyle w:val="2"/>
              <w:jc w:val="center"/>
              <w:rPr>
                <w:rFonts w:hint="eastAsia"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法律顾问服务</w:t>
            </w:r>
          </w:p>
        </w:tc>
        <w:tc>
          <w:tcPr>
            <w:tcW w:w="1542" w:type="dxa"/>
            <w:noWrap/>
            <w:vAlign w:val="center"/>
          </w:tcPr>
          <w:p w14:paraId="1BE5CAFB">
            <w:pPr>
              <w:pStyle w:val="2"/>
              <w:jc w:val="both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 xml:space="preserve">   1年</w:t>
            </w:r>
          </w:p>
        </w:tc>
        <w:tc>
          <w:tcPr>
            <w:tcW w:w="3562" w:type="dxa"/>
            <w:noWrap/>
            <w:vAlign w:val="center"/>
          </w:tcPr>
          <w:p w14:paraId="6A9935C5">
            <w:pPr>
              <w:pStyle w:val="2"/>
              <w:rPr>
                <w:rFonts w:hint="eastAsia" w:ascii="宋体" w:hAnsi="宋体" w:eastAsia="宋体" w:cs="Times New Roman"/>
                <w:color w:val="auto"/>
                <w:highlight w:val="none"/>
              </w:rPr>
            </w:pPr>
          </w:p>
        </w:tc>
        <w:tc>
          <w:tcPr>
            <w:tcW w:w="2711" w:type="dxa"/>
            <w:noWrap/>
            <w:vAlign w:val="center"/>
          </w:tcPr>
          <w:p w14:paraId="2BE380AC">
            <w:pPr>
              <w:pStyle w:val="2"/>
              <w:jc w:val="center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  <w:lang w:val="en-US" w:eastAsia="zh-CN"/>
              </w:rPr>
              <w:t>不得超过预算价</w:t>
            </w:r>
          </w:p>
        </w:tc>
      </w:tr>
    </w:tbl>
    <w:p w14:paraId="310182C6">
      <w:pPr>
        <w:pStyle w:val="2"/>
        <w:jc w:val="both"/>
        <w:rPr>
          <w:rFonts w:hint="eastAsia"/>
          <w:color w:val="auto"/>
          <w:highlight w:val="none"/>
          <w:lang w:val="en-US" w:eastAsia="zh-CN"/>
        </w:rPr>
      </w:pPr>
    </w:p>
    <w:p w14:paraId="424E71BF">
      <w:pPr>
        <w:pStyle w:val="2"/>
        <w:jc w:val="both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 xml:space="preserve"> </w:t>
      </w:r>
    </w:p>
    <w:p w14:paraId="346471C4">
      <w:pPr>
        <w:pStyle w:val="2"/>
        <w:jc w:val="both"/>
        <w:rPr>
          <w:rFonts w:hint="default"/>
          <w:color w:val="auto"/>
          <w:highlight w:val="none"/>
          <w:lang w:val="en-US" w:eastAsia="zh-CN"/>
        </w:rPr>
      </w:pPr>
      <w:bookmarkStart w:id="0" w:name="_GoBack"/>
      <w:bookmarkEnd w:id="0"/>
    </w:p>
    <w:p w14:paraId="3A396BA6">
      <w:pPr>
        <w:pStyle w:val="2"/>
        <w:jc w:val="both"/>
        <w:rPr>
          <w:rFonts w:hint="default"/>
          <w:color w:val="auto"/>
          <w:highlight w:val="none"/>
          <w:lang w:val="en-US" w:eastAsia="zh-CN"/>
        </w:rPr>
      </w:pPr>
    </w:p>
    <w:p w14:paraId="0D820BDA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响应单位：（公章）</w:t>
      </w:r>
    </w:p>
    <w:p w14:paraId="17FD948C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法定代表人：（签字或盖章）</w:t>
      </w:r>
    </w:p>
    <w:p w14:paraId="6430DAB6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代理人：（签字或盖章）</w:t>
      </w:r>
    </w:p>
    <w:p w14:paraId="0A3FE4A7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年    月     日</w:t>
      </w:r>
    </w:p>
    <w:p w14:paraId="6AA37DCC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</w:p>
    <w:p w14:paraId="7A88C35B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</w:p>
    <w:p w14:paraId="060A0710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</w:p>
    <w:p w14:paraId="19E42287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</w:p>
    <w:p w14:paraId="7A0A06C6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</w:p>
    <w:p w14:paraId="63C5F459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</w:p>
    <w:p w14:paraId="69F11A34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</w:p>
    <w:p w14:paraId="66931C1C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</w:p>
    <w:p w14:paraId="658E3C61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</w:p>
    <w:p w14:paraId="1E27F429">
      <w:pPr>
        <w:spacing w:line="300" w:lineRule="auto"/>
        <w:jc w:val="both"/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  <w:t>附件2</w:t>
      </w:r>
      <w:r>
        <w:rPr>
          <w:rFonts w:hint="eastAsia" w:ascii="Arial" w:hAnsi="Arial"/>
          <w:color w:val="auto"/>
          <w:spacing w:val="20"/>
          <w:sz w:val="24"/>
          <w:szCs w:val="24"/>
          <w:highlight w:val="none"/>
          <w:lang w:val="en-US" w:eastAsia="zh-CN"/>
        </w:rPr>
        <w:t>.2</w:t>
      </w:r>
      <w:r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  <w:t>：</w:t>
      </w:r>
    </w:p>
    <w:p w14:paraId="4D7E068E">
      <w:pPr>
        <w:spacing w:line="300" w:lineRule="auto"/>
        <w:jc w:val="center"/>
        <w:rPr>
          <w:rFonts w:hint="default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</w:pPr>
      <w:r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专项代理法律服务报价</w:t>
      </w:r>
    </w:p>
    <w:tbl>
      <w:tblPr>
        <w:tblStyle w:val="3"/>
        <w:tblpPr w:leftFromText="180" w:rightFromText="180" w:vertAnchor="text" w:horzAnchor="page" w:tblpX="1260" w:tblpY="288"/>
        <w:tblOverlap w:val="never"/>
        <w:tblW w:w="9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2640"/>
        <w:gridCol w:w="2250"/>
        <w:gridCol w:w="3135"/>
      </w:tblGrid>
      <w:tr w14:paraId="4AC12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3" w:hRule="atLeast"/>
        </w:trPr>
        <w:tc>
          <w:tcPr>
            <w:tcW w:w="1435" w:type="dxa"/>
            <w:noWrap/>
            <w:vAlign w:val="center"/>
          </w:tcPr>
          <w:p w14:paraId="5E4375C7">
            <w:pPr>
              <w:pStyle w:val="2"/>
              <w:jc w:val="center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项目内容</w:t>
            </w:r>
          </w:p>
        </w:tc>
        <w:tc>
          <w:tcPr>
            <w:tcW w:w="2640" w:type="dxa"/>
            <w:noWrap/>
            <w:vAlign w:val="center"/>
          </w:tcPr>
          <w:p w14:paraId="7E1DE978">
            <w:pPr>
              <w:pStyle w:val="2"/>
              <w:jc w:val="center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收费区间</w:t>
            </w:r>
          </w:p>
        </w:tc>
        <w:tc>
          <w:tcPr>
            <w:tcW w:w="2250" w:type="dxa"/>
            <w:noWrap/>
            <w:vAlign w:val="center"/>
          </w:tcPr>
          <w:p w14:paraId="34E769B3">
            <w:pPr>
              <w:pStyle w:val="2"/>
              <w:jc w:val="center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固定收费标准及比列</w:t>
            </w:r>
          </w:p>
        </w:tc>
        <w:tc>
          <w:tcPr>
            <w:tcW w:w="3135" w:type="dxa"/>
            <w:noWrap/>
            <w:vAlign w:val="center"/>
          </w:tcPr>
          <w:p w14:paraId="312B0338">
            <w:pPr>
              <w:pStyle w:val="2"/>
              <w:jc w:val="center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备注</w:t>
            </w:r>
          </w:p>
        </w:tc>
      </w:tr>
      <w:tr w14:paraId="29491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</w:trPr>
        <w:tc>
          <w:tcPr>
            <w:tcW w:w="1435" w:type="dxa"/>
            <w:vMerge w:val="restart"/>
            <w:noWrap/>
            <w:vAlign w:val="center"/>
          </w:tcPr>
          <w:p w14:paraId="2D00D650">
            <w:pPr>
              <w:pStyle w:val="2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专项代理法律服务</w:t>
            </w:r>
          </w:p>
        </w:tc>
        <w:tc>
          <w:tcPr>
            <w:tcW w:w="2640" w:type="dxa"/>
            <w:noWrap/>
            <w:vAlign w:val="center"/>
          </w:tcPr>
          <w:p w14:paraId="7BE9BC59">
            <w:pPr>
              <w:pStyle w:val="2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≤1万元</w:t>
            </w:r>
          </w:p>
        </w:tc>
        <w:tc>
          <w:tcPr>
            <w:tcW w:w="2250" w:type="dxa"/>
            <w:noWrap/>
            <w:vAlign w:val="center"/>
          </w:tcPr>
          <w:p w14:paraId="4800428A">
            <w:pPr>
              <w:pStyle w:val="2"/>
              <w:jc w:val="center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2500元</w:t>
            </w:r>
          </w:p>
        </w:tc>
        <w:tc>
          <w:tcPr>
            <w:tcW w:w="3135" w:type="dxa"/>
            <w:vMerge w:val="restart"/>
            <w:noWrap/>
            <w:vAlign w:val="center"/>
          </w:tcPr>
          <w:p w14:paraId="27FEFAEF">
            <w:pPr>
              <w:pStyle w:val="2"/>
              <w:rPr>
                <w:rFonts w:hint="eastAsia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1.以江苏省律师服务收费试行标准为参考取最低值。</w:t>
            </w:r>
          </w:p>
          <w:p w14:paraId="0AF95DCE">
            <w:pPr>
              <w:pStyle w:val="2"/>
              <w:rPr>
                <w:rFonts w:hint="eastAsia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  <w:lang w:val="en-US" w:eastAsia="zh-CN"/>
              </w:rPr>
              <w:t>以个案</w:t>
            </w: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诉讼标的额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  <w:lang w:val="en-US" w:eastAsia="zh-CN"/>
              </w:rPr>
              <w:t>报价</w:t>
            </w: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收费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  <w:lang w:val="en-US" w:eastAsia="zh-CN"/>
              </w:rPr>
              <w:t>，</w:t>
            </w: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服务单位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  <w:lang w:val="en-US" w:eastAsia="zh-CN"/>
              </w:rPr>
              <w:t>进行分段计费。</w:t>
            </w:r>
          </w:p>
          <w:p w14:paraId="5BC4D4B0">
            <w:pPr>
              <w:pStyle w:val="2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3.最终代理法律服务费用以优惠折扣价计算。</w:t>
            </w:r>
          </w:p>
        </w:tc>
      </w:tr>
      <w:tr w14:paraId="0E874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</w:trPr>
        <w:tc>
          <w:tcPr>
            <w:tcW w:w="1435" w:type="dxa"/>
            <w:vMerge w:val="continue"/>
            <w:noWrap/>
            <w:vAlign w:val="center"/>
          </w:tcPr>
          <w:p w14:paraId="79A5DB56">
            <w:pPr>
              <w:pStyle w:val="2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640" w:type="dxa"/>
            <w:noWrap/>
            <w:vAlign w:val="center"/>
          </w:tcPr>
          <w:p w14:paraId="18684304">
            <w:pPr>
              <w:pStyle w:val="2"/>
              <w:rPr>
                <w:rFonts w:hint="eastAsia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＞1万元，≤10万元</w:t>
            </w:r>
          </w:p>
        </w:tc>
        <w:tc>
          <w:tcPr>
            <w:tcW w:w="2250" w:type="dxa"/>
            <w:noWrap/>
            <w:vAlign w:val="center"/>
          </w:tcPr>
          <w:p w14:paraId="781F258F">
            <w:pPr>
              <w:pStyle w:val="2"/>
              <w:jc w:val="center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6%</w:t>
            </w:r>
          </w:p>
        </w:tc>
        <w:tc>
          <w:tcPr>
            <w:tcW w:w="3135" w:type="dxa"/>
            <w:vMerge w:val="continue"/>
            <w:noWrap/>
            <w:vAlign w:val="center"/>
          </w:tcPr>
          <w:p w14:paraId="076C1F7F">
            <w:pPr>
              <w:pStyle w:val="2"/>
              <w:rPr>
                <w:rFonts w:hint="eastAsia" w:ascii="宋体" w:hAnsi="宋体" w:eastAsia="宋体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5D1F1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3" w:hRule="atLeast"/>
        </w:trPr>
        <w:tc>
          <w:tcPr>
            <w:tcW w:w="1435" w:type="dxa"/>
            <w:vMerge w:val="continue"/>
            <w:noWrap/>
            <w:vAlign w:val="center"/>
          </w:tcPr>
          <w:p w14:paraId="520C1313">
            <w:pPr>
              <w:pStyle w:val="2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640" w:type="dxa"/>
            <w:noWrap/>
            <w:vAlign w:val="center"/>
          </w:tcPr>
          <w:p w14:paraId="056C56BA">
            <w:pPr>
              <w:pStyle w:val="2"/>
              <w:rPr>
                <w:rFonts w:hint="eastAsia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＞10万元，≤50万元</w:t>
            </w:r>
          </w:p>
        </w:tc>
        <w:tc>
          <w:tcPr>
            <w:tcW w:w="2250" w:type="dxa"/>
            <w:noWrap/>
            <w:vAlign w:val="center"/>
          </w:tcPr>
          <w:p w14:paraId="6F2ED086">
            <w:pPr>
              <w:pStyle w:val="2"/>
              <w:jc w:val="center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5%</w:t>
            </w:r>
          </w:p>
        </w:tc>
        <w:tc>
          <w:tcPr>
            <w:tcW w:w="3135" w:type="dxa"/>
            <w:vMerge w:val="continue"/>
            <w:noWrap/>
            <w:vAlign w:val="center"/>
          </w:tcPr>
          <w:p w14:paraId="2E27AE39">
            <w:pPr>
              <w:pStyle w:val="2"/>
              <w:rPr>
                <w:rFonts w:hint="eastAsia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21A8C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435" w:type="dxa"/>
            <w:vMerge w:val="continue"/>
            <w:noWrap/>
            <w:vAlign w:val="center"/>
          </w:tcPr>
          <w:p w14:paraId="24C1128F">
            <w:pPr>
              <w:pStyle w:val="2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640" w:type="dxa"/>
            <w:noWrap/>
            <w:vAlign w:val="center"/>
          </w:tcPr>
          <w:p w14:paraId="163B915B">
            <w:pPr>
              <w:pStyle w:val="2"/>
              <w:rPr>
                <w:rFonts w:hint="eastAsia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＞50万元，≤100万元</w:t>
            </w:r>
          </w:p>
        </w:tc>
        <w:tc>
          <w:tcPr>
            <w:tcW w:w="2250" w:type="dxa"/>
            <w:noWrap/>
            <w:vAlign w:val="center"/>
          </w:tcPr>
          <w:p w14:paraId="130B6487">
            <w:pPr>
              <w:pStyle w:val="2"/>
              <w:jc w:val="center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4%</w:t>
            </w:r>
          </w:p>
        </w:tc>
        <w:tc>
          <w:tcPr>
            <w:tcW w:w="3135" w:type="dxa"/>
            <w:vMerge w:val="continue"/>
            <w:noWrap/>
            <w:vAlign w:val="center"/>
          </w:tcPr>
          <w:p w14:paraId="7E66555D">
            <w:pPr>
              <w:pStyle w:val="2"/>
              <w:rPr>
                <w:rFonts w:hint="eastAsia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06013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atLeast"/>
        </w:trPr>
        <w:tc>
          <w:tcPr>
            <w:tcW w:w="1435" w:type="dxa"/>
            <w:vMerge w:val="continue"/>
            <w:noWrap/>
            <w:vAlign w:val="center"/>
          </w:tcPr>
          <w:p w14:paraId="44E77247">
            <w:pPr>
              <w:pStyle w:val="2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640" w:type="dxa"/>
            <w:noWrap/>
            <w:vAlign w:val="center"/>
          </w:tcPr>
          <w:p w14:paraId="0B6AA26F">
            <w:pPr>
              <w:pStyle w:val="2"/>
              <w:rPr>
                <w:rFonts w:hint="eastAsia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＞100万元，≤500万元</w:t>
            </w:r>
          </w:p>
        </w:tc>
        <w:tc>
          <w:tcPr>
            <w:tcW w:w="2250" w:type="dxa"/>
            <w:noWrap/>
            <w:vAlign w:val="center"/>
          </w:tcPr>
          <w:p w14:paraId="2463F84E">
            <w:pPr>
              <w:pStyle w:val="2"/>
              <w:jc w:val="center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3%</w:t>
            </w:r>
          </w:p>
        </w:tc>
        <w:tc>
          <w:tcPr>
            <w:tcW w:w="3135" w:type="dxa"/>
            <w:vMerge w:val="continue"/>
            <w:noWrap/>
            <w:vAlign w:val="center"/>
          </w:tcPr>
          <w:p w14:paraId="78825851">
            <w:pPr>
              <w:pStyle w:val="2"/>
              <w:rPr>
                <w:rFonts w:hint="eastAsia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160E9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3" w:hRule="atLeast"/>
        </w:trPr>
        <w:tc>
          <w:tcPr>
            <w:tcW w:w="1435" w:type="dxa"/>
            <w:vMerge w:val="continue"/>
            <w:noWrap/>
            <w:vAlign w:val="center"/>
          </w:tcPr>
          <w:p w14:paraId="6EFFC868">
            <w:pPr>
              <w:pStyle w:val="2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640" w:type="dxa"/>
            <w:noWrap/>
            <w:vAlign w:val="center"/>
          </w:tcPr>
          <w:p w14:paraId="3F1DD8DE">
            <w:pPr>
              <w:pStyle w:val="2"/>
              <w:jc w:val="center"/>
              <w:rPr>
                <w:rFonts w:hint="default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优惠折扣</w:t>
            </w:r>
          </w:p>
        </w:tc>
        <w:tc>
          <w:tcPr>
            <w:tcW w:w="2250" w:type="dxa"/>
            <w:noWrap/>
            <w:vAlign w:val="center"/>
          </w:tcPr>
          <w:p w14:paraId="3EF85499">
            <w:pPr>
              <w:pStyle w:val="2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 xml:space="preserve">           </w:t>
            </w:r>
            <w:r>
              <w:rPr>
                <w:rFonts w:hint="eastAsia" w:cs="Times New Roman"/>
                <w:b/>
                <w:bCs/>
                <w:color w:val="auto"/>
                <w:highlight w:val="none"/>
                <w:lang w:val="en-US" w:eastAsia="zh-CN"/>
              </w:rPr>
              <w:t xml:space="preserve"> 折</w:t>
            </w:r>
          </w:p>
        </w:tc>
        <w:tc>
          <w:tcPr>
            <w:tcW w:w="3135" w:type="dxa"/>
            <w:noWrap/>
            <w:vAlign w:val="center"/>
          </w:tcPr>
          <w:p w14:paraId="1FCBEFB1">
            <w:pPr>
              <w:pStyle w:val="2"/>
              <w:rPr>
                <w:rFonts w:hint="eastAsia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在以上基础上报最终优惠折扣（例9折、73折···）</w:t>
            </w:r>
          </w:p>
          <w:p w14:paraId="60A336A4">
            <w:pPr>
              <w:pStyle w:val="2"/>
              <w:rPr>
                <w:rFonts w:hint="default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如优惠折扣为65折，专项代理法律服务费用为：按比例及标准计算后的价格*65%</w:t>
            </w:r>
          </w:p>
        </w:tc>
      </w:tr>
    </w:tbl>
    <w:p w14:paraId="6E66A264">
      <w:pPr>
        <w:bidi w:val="0"/>
        <w:jc w:val="lef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注：</w:t>
      </w:r>
      <w:r>
        <w:rPr>
          <w:rFonts w:hint="eastAsia" w:cs="Times New Roman"/>
          <w:lang w:val="en-US" w:eastAsia="zh-CN"/>
        </w:rPr>
        <w:t>1.</w:t>
      </w:r>
      <w:r>
        <w:rPr>
          <w:rFonts w:hint="eastAsia" w:ascii="Times New Roman" w:hAnsi="Times New Roman" w:eastAsia="宋体" w:cs="Times New Roman"/>
          <w:lang w:val="en-US" w:eastAsia="zh-CN"/>
        </w:rPr>
        <w:t>最终专项代理法律服务费用包含律师服务费、文书起草审核费、咨询费、差旅费、税费、快递费、电信通讯费、文印费等；</w:t>
      </w:r>
    </w:p>
    <w:p w14:paraId="5F5E0EA8">
      <w:pPr>
        <w:bidi w:val="0"/>
        <w:ind w:firstLine="480" w:firstLineChars="200"/>
        <w:jc w:val="lef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lang w:val="en-US" w:eastAsia="zh-CN"/>
        </w:rPr>
        <w:t>涉及的诉讼费、仲裁费、鉴定费、公证费、翻译费、专家论证费等由采购人按实支付。</w:t>
      </w:r>
    </w:p>
    <w:p w14:paraId="3EA7C238">
      <w:pPr>
        <w:bidi w:val="0"/>
        <w:ind w:firstLine="480" w:firstLineChars="200"/>
        <w:jc w:val="lef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3.单独代理二审、再审、执行、反诉案件分别按照一审案件</w:t>
      </w:r>
      <w:r>
        <w:rPr>
          <w:rFonts w:hint="eastAsia" w:cs="Times New Roman"/>
          <w:lang w:val="en-US" w:eastAsia="zh-CN"/>
        </w:rPr>
        <w:t>（第一次代理）</w:t>
      </w:r>
      <w:r>
        <w:rPr>
          <w:rFonts w:hint="eastAsia" w:ascii="Times New Roman" w:hAnsi="Times New Roman" w:eastAsia="宋体" w:cs="Times New Roman"/>
          <w:lang w:val="en-US" w:eastAsia="zh-CN"/>
        </w:rPr>
        <w:t>的收费标准收费。曾代理前一阶段的，后一阶段起</w:t>
      </w:r>
      <w:r>
        <w:rPr>
          <w:rFonts w:hint="eastAsia" w:cs="Times New Roman"/>
          <w:lang w:val="en-US" w:eastAsia="zh-CN"/>
        </w:rPr>
        <w:t>代理费用</w:t>
      </w:r>
      <w:r>
        <w:rPr>
          <w:rFonts w:hint="eastAsia" w:ascii="Times New Roman" w:hAnsi="Times New Roman" w:eastAsia="宋体" w:cs="Times New Roman"/>
          <w:lang w:val="en-US" w:eastAsia="zh-CN"/>
        </w:rPr>
        <w:t>减半。</w:t>
      </w:r>
    </w:p>
    <w:p w14:paraId="291A76A8">
      <w:pPr>
        <w:bidi w:val="0"/>
        <w:ind w:firstLine="480" w:firstLineChars="200"/>
        <w:jc w:val="left"/>
        <w:rPr>
          <w:rFonts w:hint="eastAsia" w:ascii="Times New Roman" w:hAnsi="Times New Roman" w:eastAsia="宋体" w:cs="Times New Roman"/>
          <w:lang w:val="en-US" w:eastAsia="zh-CN"/>
        </w:rPr>
      </w:pPr>
    </w:p>
    <w:p w14:paraId="289D62D2">
      <w:pPr>
        <w:bidi w:val="0"/>
        <w:ind w:firstLine="480" w:firstLineChars="200"/>
        <w:jc w:val="left"/>
        <w:rPr>
          <w:rFonts w:hint="eastAsia" w:ascii="Times New Roman" w:hAnsi="Times New Roman" w:eastAsia="宋体" w:cs="Times New Roman"/>
          <w:lang w:val="en-US" w:eastAsia="zh-CN"/>
        </w:rPr>
      </w:pPr>
    </w:p>
    <w:p w14:paraId="2B29B447">
      <w:pPr>
        <w:bidi w:val="0"/>
        <w:ind w:firstLine="480" w:firstLineChars="200"/>
        <w:jc w:val="left"/>
        <w:rPr>
          <w:rFonts w:hint="eastAsia" w:ascii="Times New Roman" w:hAnsi="Times New Roman" w:eastAsia="宋体" w:cs="Times New Roman"/>
          <w:lang w:val="en-US" w:eastAsia="zh-CN"/>
        </w:rPr>
      </w:pPr>
    </w:p>
    <w:p w14:paraId="2C8C8527">
      <w:pPr>
        <w:bidi w:val="0"/>
        <w:ind w:firstLine="480" w:firstLineChars="200"/>
        <w:jc w:val="left"/>
        <w:rPr>
          <w:rFonts w:hint="eastAsia" w:ascii="Times New Roman" w:hAnsi="Times New Roman" w:eastAsia="宋体" w:cs="Times New Roman"/>
          <w:lang w:val="en-US" w:eastAsia="zh-CN"/>
        </w:rPr>
      </w:pPr>
    </w:p>
    <w:p w14:paraId="3B1D0A7F">
      <w:pPr>
        <w:bidi w:val="0"/>
        <w:ind w:firstLine="480" w:firstLineChars="200"/>
        <w:jc w:val="left"/>
        <w:rPr>
          <w:rFonts w:hint="eastAsia" w:ascii="Times New Roman" w:hAnsi="Times New Roman" w:eastAsia="宋体" w:cs="Times New Roman"/>
          <w:lang w:val="en-US" w:eastAsia="zh-CN"/>
        </w:rPr>
      </w:pPr>
    </w:p>
    <w:p w14:paraId="6C3DBDFE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响应单位：（公章）</w:t>
      </w:r>
    </w:p>
    <w:p w14:paraId="5F36BD31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法定代表人：（签字或盖章）</w:t>
      </w:r>
    </w:p>
    <w:p w14:paraId="1FA091A3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代理人：（签字或盖章）</w:t>
      </w:r>
    </w:p>
    <w:p w14:paraId="33EE5C15">
      <w:pPr>
        <w:widowControl/>
        <w:spacing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ascii="宋体" w:hAnsi="宋体"/>
          <w:kern w:val="0"/>
          <w:szCs w:val="21"/>
        </w:rPr>
        <w:t>年    月     日</w:t>
      </w:r>
    </w:p>
    <w:sectPr>
      <w:pgSz w:w="11906" w:h="16838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840D4E"/>
    <w:rsid w:val="0FB55388"/>
    <w:rsid w:val="108035C9"/>
    <w:rsid w:val="11762126"/>
    <w:rsid w:val="195F104B"/>
    <w:rsid w:val="272E6B8B"/>
    <w:rsid w:val="2B3065C2"/>
    <w:rsid w:val="31CA3C24"/>
    <w:rsid w:val="3B1D0582"/>
    <w:rsid w:val="42F7276C"/>
    <w:rsid w:val="4FB861AF"/>
    <w:rsid w:val="5720302F"/>
    <w:rsid w:val="5E71020A"/>
    <w:rsid w:val="78E26692"/>
    <w:rsid w:val="7D900CB7"/>
    <w:rsid w:val="7F91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hint="default" w:ascii="Times New Roman" w:hAnsi="Times New Roman" w:eastAsia="宋体" w:cs="Times New Roman"/>
      <w:sz w:val="24"/>
      <w:lang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131"/>
    <w:basedOn w:val="5"/>
    <w:qFormat/>
    <w:uiPriority w:val="0"/>
    <w:rPr>
      <w:rFonts w:hint="eastAsia" w:ascii="黑体" w:hAnsi="宋体" w:eastAsia="黑体" w:cs="黑体"/>
      <w:b/>
      <w:bCs/>
      <w:color w:val="000000"/>
      <w:sz w:val="28"/>
      <w:szCs w:val="28"/>
      <w:u w:val="single"/>
    </w:rPr>
  </w:style>
  <w:style w:type="character" w:customStyle="1" w:styleId="7">
    <w:name w:val="font21"/>
    <w:basedOn w:val="5"/>
    <w:qFormat/>
    <w:uiPriority w:val="0"/>
    <w:rPr>
      <w:rFonts w:hint="eastAsia" w:ascii="黑体" w:hAnsi="宋体" w:eastAsia="黑体" w:cs="黑体"/>
      <w:b/>
      <w:bCs/>
      <w:color w:val="000000"/>
      <w:sz w:val="28"/>
      <w:szCs w:val="28"/>
      <w:u w:val="none"/>
    </w:rPr>
  </w:style>
  <w:style w:type="character" w:customStyle="1" w:styleId="8">
    <w:name w:val="font1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9">
    <w:name w:val="font10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583</Words>
  <Characters>615</Characters>
  <Lines>0</Lines>
  <Paragraphs>0</Paragraphs>
  <TotalTime>6</TotalTime>
  <ScaleCrop>false</ScaleCrop>
  <LinksUpToDate>false</LinksUpToDate>
  <CharactersWithSpaces>653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2025-09-08T08:40:00Z</dcterms:created>
  <dc:creator>Administrator</dc:creator>
  <cp:lastModifiedBy>鲁岳</cp:lastModifiedBy>
  <cp:lastPrinted>2026-09-23T05:44:59Z</cp:lastPrinted>
  <dcterms:modified xsi:type="dcterms:W3CDTF">2026-09-23T05:45:57Z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eyJoZGlkIjoiOTAwMjFkMGJlNjczOGU0NmVhMTE2OWE4NTQ1MTU2OWMiLCJ1c2VySWQiOiI0NTg1MDY1MTgifQ==</vt:lpwstr>
  </property>
  <property fmtid="{D5CDD505-2E9C-101B-9397-08002B2CF9AE}" pid="4" name="ICV">
    <vt:lpwstr>30BA3585368F430297CBE49EB7C505A6_12</vt:lpwstr>
  </property>
</Properties>
</file>