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招标采购文件</w:t>
      </w:r>
    </w:p>
    <w:p>
      <w:pPr>
        <w:pStyle w:val="6"/>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高新区人民医院</w:t>
      </w:r>
      <w:r>
        <w:rPr>
          <w:rFonts w:hint="eastAsia"/>
          <w:color w:val="333333"/>
          <w:sz w:val="21"/>
          <w:szCs w:val="21"/>
        </w:rPr>
        <w:t>拟对“UPS蓄电池更换及设备维保”进行招标采购，欢迎符合招标采购文件资格条件的各供应商前来报名参加投标。</w:t>
      </w:r>
    </w:p>
    <w:p>
      <w:pPr>
        <w:spacing w:line="400" w:lineRule="exact"/>
        <w:ind w:right="-159" w:firstLine="420" w:firstLineChars="200"/>
      </w:pPr>
      <w:r>
        <w:rPr>
          <w:rFonts w:hint="eastAsia"/>
          <w:bCs/>
        </w:rPr>
        <w:t>一、采购编号：</w:t>
      </w:r>
      <w:r>
        <w:rPr>
          <w:rFonts w:hint="eastAsia"/>
        </w:rPr>
        <w:t>SGYZW2020-2号</w:t>
      </w:r>
      <w:r>
        <w:rPr>
          <w:rFonts w:hint="eastAsia"/>
          <w:bCs/>
        </w:rPr>
        <w:t xml:space="preserve">   </w:t>
      </w:r>
    </w:p>
    <w:p>
      <w:pPr>
        <w:spacing w:line="400" w:lineRule="exact"/>
        <w:ind w:left="-899" w:leftChars="-428" w:right="-161" w:firstLine="1306" w:firstLineChars="622"/>
      </w:pPr>
      <w:r>
        <w:rPr>
          <w:rFonts w:hint="eastAsia"/>
          <w:bCs/>
        </w:rPr>
        <w:t>二、采购项目名称：UPS蓄电池更换及设备维保</w:t>
      </w:r>
    </w:p>
    <w:p>
      <w:pPr>
        <w:spacing w:line="400" w:lineRule="exact"/>
        <w:ind w:firstLine="411" w:firstLineChars="196"/>
      </w:pPr>
      <w:r>
        <w:rPr>
          <w:rFonts w:hint="eastAsia"/>
        </w:rPr>
        <w:t>三、</w:t>
      </w:r>
      <w:r>
        <w:rPr>
          <w:rFonts w:hint="eastAsia"/>
          <w:bCs/>
        </w:rPr>
        <w:t>服务期限：一年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rFonts w:hint="eastAsia"/>
          <w:bCs/>
        </w:rPr>
        <w:t>（一）</w:t>
      </w:r>
      <w:r>
        <w:rPr>
          <w:kern w:val="0"/>
        </w:rPr>
        <w:t>维保周期</w:t>
      </w:r>
    </w:p>
    <w:p>
      <w:pPr>
        <w:pStyle w:val="2"/>
        <w:ind w:firstLine="420"/>
        <w:rPr>
          <w:bCs/>
          <w:sz w:val="21"/>
        </w:rPr>
      </w:pPr>
      <w:r>
        <w:rPr>
          <w:rFonts w:hint="eastAsia"/>
          <w:bCs/>
          <w:sz w:val="21"/>
        </w:rPr>
        <w:t>服务期限：自合同签订之日起一年</w:t>
      </w:r>
    </w:p>
    <w:p>
      <w:pPr>
        <w:pStyle w:val="2"/>
        <w:numPr>
          <w:ilvl w:val="0"/>
          <w:numId w:val="1"/>
        </w:numPr>
        <w:ind w:firstLine="420"/>
        <w:rPr>
          <w:bCs/>
          <w:sz w:val="21"/>
        </w:rPr>
      </w:pPr>
      <w:r>
        <w:rPr>
          <w:rFonts w:hint="eastAsia"/>
          <w:bCs/>
          <w:sz w:val="21"/>
        </w:rPr>
        <w:t>蓄电池更换：</w:t>
      </w:r>
    </w:p>
    <w:p>
      <w:pPr>
        <w:pStyle w:val="2"/>
        <w:ind w:firstLine="0" w:firstLineChars="0"/>
        <w:rPr>
          <w:rFonts w:hint="eastAsia" w:eastAsia="宋体"/>
          <w:bCs/>
          <w:sz w:val="21"/>
          <w:u w:val="single"/>
          <w:lang w:eastAsia="zh-CN"/>
        </w:rPr>
      </w:pPr>
      <w:r>
        <w:rPr>
          <w:rFonts w:hint="eastAsia"/>
          <w:bCs/>
          <w:sz w:val="21"/>
        </w:rPr>
        <w:t xml:space="preserve">      为了保障</w:t>
      </w:r>
      <w:r>
        <w:rPr>
          <w:rFonts w:hint="eastAsia"/>
          <w:bCs/>
          <w:sz w:val="21"/>
          <w:lang w:eastAsia="zh-CN"/>
        </w:rPr>
        <w:t>手术室应急用电，保证</w:t>
      </w:r>
      <w:r>
        <w:rPr>
          <w:rFonts w:hint="eastAsia"/>
          <w:bCs/>
          <w:sz w:val="21"/>
          <w:lang w:val="en-US" w:eastAsia="zh-CN"/>
        </w:rPr>
        <w:t>UPS</w:t>
      </w:r>
      <w:r>
        <w:rPr>
          <w:rFonts w:hint="eastAsia"/>
          <w:bCs/>
          <w:sz w:val="21"/>
        </w:rPr>
        <w:t>设备正常运行</w:t>
      </w:r>
      <w:r>
        <w:rPr>
          <w:rFonts w:hint="eastAsia"/>
          <w:bCs/>
          <w:sz w:val="21"/>
          <w:lang w:eastAsia="zh-CN"/>
        </w:rPr>
        <w:t>及更换的</w:t>
      </w:r>
      <w:r>
        <w:rPr>
          <w:rFonts w:hint="eastAsia"/>
          <w:bCs/>
          <w:sz w:val="21"/>
          <w:lang w:val="en-US" w:eastAsia="zh-CN"/>
        </w:rPr>
        <w:t>UPS蓄电池的质量</w:t>
      </w:r>
      <w:r>
        <w:rPr>
          <w:rFonts w:hint="eastAsia"/>
          <w:bCs/>
          <w:sz w:val="21"/>
        </w:rPr>
        <w:t>，推荐以下品牌：</w:t>
      </w:r>
      <w:r>
        <w:rPr>
          <w:rFonts w:hint="eastAsia"/>
          <w:bCs/>
          <w:sz w:val="21"/>
          <w:u w:val="single"/>
        </w:rPr>
        <w:t>MCA、雷诺士、松下、山特、艾默生、易斯特</w:t>
      </w:r>
    </w:p>
    <w:p>
      <w:pPr>
        <w:pStyle w:val="2"/>
        <w:ind w:firstLine="630" w:firstLineChars="300"/>
        <w:rPr>
          <w:bCs/>
          <w:sz w:val="21"/>
          <w:u w:val="single"/>
        </w:rPr>
      </w:pPr>
      <w:r>
        <w:rPr>
          <w:rFonts w:hint="eastAsia"/>
          <w:bCs/>
          <w:sz w:val="21"/>
        </w:rPr>
        <w:t>数量：</w:t>
      </w:r>
      <w:r>
        <w:rPr>
          <w:rFonts w:hint="eastAsia"/>
          <w:bCs/>
          <w:sz w:val="21"/>
          <w:u w:val="single"/>
        </w:rPr>
        <w:t xml:space="preserve">  10台  </w:t>
      </w:r>
    </w:p>
    <w:p>
      <w:pPr>
        <w:pStyle w:val="2"/>
        <w:ind w:firstLine="630" w:firstLineChars="300"/>
        <w:rPr>
          <w:bCs/>
          <w:sz w:val="21"/>
        </w:rPr>
      </w:pPr>
      <w:r>
        <w:rPr>
          <w:rFonts w:hint="eastAsia"/>
          <w:bCs/>
          <w:sz w:val="21"/>
        </w:rPr>
        <w:t>型号及规格：</w:t>
      </w:r>
      <w:r>
        <w:rPr>
          <w:rFonts w:hint="eastAsia"/>
          <w:bCs/>
          <w:sz w:val="21"/>
          <w:u w:val="single"/>
        </w:rPr>
        <w:t xml:space="preserve"> 12V-17AH （专用侧放电池</w:t>
      </w:r>
      <w:r>
        <w:rPr>
          <w:rFonts w:hint="eastAsia"/>
          <w:bCs/>
          <w:sz w:val="21"/>
          <w:u w:val="single"/>
          <w:lang w:eastAsia="zh-CN"/>
        </w:rPr>
        <w:t>、</w:t>
      </w:r>
      <w:r>
        <w:rPr>
          <w:rFonts w:hint="eastAsia"/>
          <w:bCs/>
          <w:sz w:val="21"/>
          <w:u w:val="single"/>
        </w:rPr>
        <w:t>大于等于17AH）</w:t>
      </w:r>
      <w:r>
        <w:rPr>
          <w:rFonts w:hint="eastAsia"/>
          <w:bCs/>
          <w:sz w:val="21"/>
        </w:rPr>
        <w:t xml:space="preserve">  </w:t>
      </w:r>
    </w:p>
    <w:p>
      <w:pPr>
        <w:pStyle w:val="2"/>
        <w:ind w:firstLine="630" w:firstLineChars="300"/>
        <w:rPr>
          <w:bCs/>
          <w:sz w:val="21"/>
        </w:rPr>
      </w:pPr>
      <w:r>
        <w:rPr>
          <w:rFonts w:hint="eastAsia"/>
          <w:bCs/>
          <w:sz w:val="21"/>
        </w:rPr>
        <w:t>每台电池组：</w:t>
      </w:r>
      <w:r>
        <w:rPr>
          <w:rFonts w:hint="eastAsia"/>
          <w:bCs/>
          <w:sz w:val="21"/>
          <w:u w:val="single"/>
        </w:rPr>
        <w:t xml:space="preserve">   16块  </w:t>
      </w:r>
    </w:p>
    <w:p>
      <w:pPr>
        <w:pStyle w:val="2"/>
        <w:ind w:firstLine="420"/>
        <w:rPr>
          <w:bCs/>
          <w:sz w:val="21"/>
        </w:rPr>
      </w:pPr>
      <w:r>
        <w:rPr>
          <w:rFonts w:hint="eastAsia"/>
          <w:bCs/>
          <w:sz w:val="21"/>
        </w:rPr>
        <w:t>（三）维护保养内容及范围：</w:t>
      </w:r>
    </w:p>
    <w:p>
      <w:pPr>
        <w:pStyle w:val="11"/>
        <w:spacing w:line="360" w:lineRule="auto"/>
        <w:ind w:firstLine="420" w:firstLineChars="200"/>
        <w:rPr>
          <w:bCs/>
          <w:color w:val="auto"/>
          <w:kern w:val="2"/>
          <w:sz w:val="21"/>
        </w:rPr>
      </w:pPr>
      <w:r>
        <w:rPr>
          <w:rFonts w:hint="eastAsia"/>
          <w:bCs/>
          <w:color w:val="auto"/>
          <w:kern w:val="2"/>
          <w:sz w:val="21"/>
        </w:rPr>
        <w:t>供货商应按下述要求为采购方的设备提供维护服务，并对发现的问题做及时处理。</w:t>
      </w:r>
    </w:p>
    <w:p>
      <w:pPr>
        <w:pStyle w:val="11"/>
        <w:spacing w:line="360" w:lineRule="auto"/>
        <w:ind w:firstLine="420" w:firstLineChars="200"/>
        <w:rPr>
          <w:bCs/>
          <w:color w:val="auto"/>
          <w:kern w:val="2"/>
          <w:sz w:val="21"/>
        </w:rPr>
      </w:pPr>
      <w:r>
        <w:rPr>
          <w:rFonts w:hint="eastAsia"/>
          <w:bCs/>
          <w:color w:val="auto"/>
          <w:kern w:val="2"/>
          <w:sz w:val="21"/>
        </w:rPr>
        <w:tab/>
      </w:r>
      <w:r>
        <w:rPr>
          <w:rFonts w:hint="eastAsia"/>
          <w:bCs/>
          <w:color w:val="auto"/>
          <w:kern w:val="2"/>
          <w:sz w:val="21"/>
        </w:rPr>
        <w:t>不间断电源系统</w:t>
      </w:r>
    </w:p>
    <w:tbl>
      <w:tblPr>
        <w:tblStyle w:val="7"/>
        <w:tblW w:w="8190" w:type="dxa"/>
        <w:jc w:val="center"/>
        <w:tblLayout w:type="autofit"/>
        <w:tblCellMar>
          <w:top w:w="0" w:type="dxa"/>
          <w:left w:w="0" w:type="dxa"/>
          <w:bottom w:w="0" w:type="dxa"/>
          <w:right w:w="0" w:type="dxa"/>
        </w:tblCellMar>
      </w:tblPr>
      <w:tblGrid>
        <w:gridCol w:w="2145"/>
        <w:gridCol w:w="1365"/>
        <w:gridCol w:w="1080"/>
        <w:gridCol w:w="1080"/>
        <w:gridCol w:w="2520"/>
      </w:tblGrid>
      <w:tr>
        <w:tblPrEx>
          <w:tblCellMar>
            <w:top w:w="0" w:type="dxa"/>
            <w:left w:w="0" w:type="dxa"/>
            <w:bottom w:w="0" w:type="dxa"/>
            <w:right w:w="0" w:type="dxa"/>
          </w:tblCellMar>
        </w:tblPrEx>
        <w:trPr>
          <w:trHeight w:val="272"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产品型号及规格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地点</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SX10K-3B3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Reros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10A</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SX10K-3B3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Reros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10B</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SX10K-3B3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Reros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9A</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KCRT-140KVA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Reros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4A检验科</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SX40K-3B3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Reros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3F ICU</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SX40K-3B3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Reros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1F急诊新风机房</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3C20KS</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SEDNUPS</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1F急诊检验      </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EA9930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EAST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监控室</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EA902H-2KVA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EAST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弱电间</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奥斯克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手术室</w:t>
            </w:r>
          </w:p>
        </w:tc>
      </w:tr>
      <w:tr>
        <w:tblPrEx>
          <w:tblCellMar>
            <w:top w:w="0" w:type="dxa"/>
            <w:left w:w="0" w:type="dxa"/>
            <w:bottom w:w="0" w:type="dxa"/>
            <w:right w:w="0" w:type="dxa"/>
          </w:tblCellMar>
        </w:tblPrEx>
        <w:trPr>
          <w:trHeight w:val="274"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更换后品牌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手术室</w:t>
            </w:r>
          </w:p>
        </w:tc>
      </w:tr>
    </w:tbl>
    <w:p>
      <w:pPr>
        <w:pStyle w:val="11"/>
        <w:spacing w:line="360" w:lineRule="auto"/>
        <w:ind w:firstLine="420" w:firstLineChars="200"/>
        <w:rPr>
          <w:bCs/>
          <w:color w:val="auto"/>
          <w:kern w:val="2"/>
          <w:sz w:val="21"/>
        </w:rPr>
      </w:pPr>
      <w:r>
        <w:rPr>
          <w:rFonts w:hint="eastAsia"/>
          <w:bCs/>
          <w:color w:val="auto"/>
          <w:kern w:val="2"/>
          <w:sz w:val="21"/>
        </w:rPr>
        <w:t xml:space="preserve">季度检查的具体项目： </w:t>
      </w:r>
    </w:p>
    <w:p>
      <w:pPr>
        <w:pStyle w:val="11"/>
        <w:numPr>
          <w:ilvl w:val="0"/>
          <w:numId w:val="2"/>
        </w:numPr>
        <w:spacing w:line="360" w:lineRule="auto"/>
        <w:rPr>
          <w:bCs/>
          <w:color w:val="auto"/>
          <w:kern w:val="2"/>
          <w:sz w:val="21"/>
        </w:rPr>
      </w:pPr>
      <w:r>
        <w:rPr>
          <w:rFonts w:hint="eastAsia"/>
          <w:bCs/>
          <w:color w:val="auto"/>
          <w:kern w:val="2"/>
          <w:sz w:val="21"/>
        </w:rPr>
        <w:t xml:space="preserve">检查所有电气连接 </w:t>
      </w:r>
    </w:p>
    <w:p>
      <w:pPr>
        <w:pStyle w:val="11"/>
        <w:numPr>
          <w:ilvl w:val="0"/>
          <w:numId w:val="2"/>
        </w:numPr>
        <w:spacing w:line="360" w:lineRule="auto"/>
        <w:rPr>
          <w:bCs/>
          <w:color w:val="auto"/>
          <w:kern w:val="2"/>
          <w:sz w:val="21"/>
        </w:rPr>
      </w:pPr>
      <w:r>
        <w:rPr>
          <w:rFonts w:hint="eastAsia"/>
          <w:bCs/>
          <w:color w:val="auto"/>
          <w:kern w:val="2"/>
          <w:sz w:val="21"/>
        </w:rPr>
        <w:t xml:space="preserve">进行放电测试 </w:t>
      </w:r>
    </w:p>
    <w:p>
      <w:pPr>
        <w:pStyle w:val="11"/>
        <w:numPr>
          <w:ilvl w:val="0"/>
          <w:numId w:val="2"/>
        </w:numPr>
        <w:spacing w:line="360" w:lineRule="auto"/>
        <w:rPr>
          <w:bCs/>
          <w:color w:val="auto"/>
          <w:kern w:val="2"/>
          <w:sz w:val="21"/>
        </w:rPr>
      </w:pPr>
      <w:r>
        <w:rPr>
          <w:rFonts w:hint="eastAsia"/>
          <w:bCs/>
          <w:color w:val="auto"/>
          <w:kern w:val="2"/>
          <w:sz w:val="21"/>
        </w:rPr>
        <w:t xml:space="preserve">检测电池运行的转换是否正常 </w:t>
      </w:r>
    </w:p>
    <w:p>
      <w:pPr>
        <w:pStyle w:val="11"/>
        <w:numPr>
          <w:ilvl w:val="0"/>
          <w:numId w:val="2"/>
        </w:numPr>
        <w:spacing w:line="360" w:lineRule="auto"/>
        <w:rPr>
          <w:bCs/>
          <w:color w:val="auto"/>
          <w:kern w:val="2"/>
          <w:sz w:val="21"/>
        </w:rPr>
      </w:pPr>
      <w:r>
        <w:rPr>
          <w:rFonts w:hint="eastAsia"/>
          <w:bCs/>
          <w:color w:val="auto"/>
          <w:kern w:val="2"/>
          <w:sz w:val="21"/>
        </w:rPr>
        <w:t xml:space="preserve">清理内部灰尘杂物 </w:t>
      </w:r>
    </w:p>
    <w:p>
      <w:pPr>
        <w:pStyle w:val="11"/>
        <w:numPr>
          <w:ilvl w:val="0"/>
          <w:numId w:val="2"/>
        </w:numPr>
        <w:spacing w:line="360" w:lineRule="auto"/>
        <w:rPr>
          <w:bCs/>
          <w:color w:val="auto"/>
          <w:kern w:val="2"/>
          <w:sz w:val="21"/>
        </w:rPr>
      </w:pPr>
      <w:r>
        <w:rPr>
          <w:rFonts w:hint="eastAsia"/>
          <w:bCs/>
          <w:color w:val="auto"/>
          <w:kern w:val="2"/>
          <w:sz w:val="21"/>
        </w:rPr>
        <w:t xml:space="preserve">检测内部静态旁路 </w:t>
      </w:r>
    </w:p>
    <w:p>
      <w:pPr>
        <w:pStyle w:val="11"/>
        <w:numPr>
          <w:ilvl w:val="0"/>
          <w:numId w:val="2"/>
        </w:numPr>
        <w:spacing w:line="360" w:lineRule="auto"/>
        <w:rPr>
          <w:bCs/>
          <w:color w:val="auto"/>
          <w:kern w:val="2"/>
          <w:sz w:val="21"/>
        </w:rPr>
      </w:pPr>
      <w:r>
        <w:rPr>
          <w:rFonts w:hint="eastAsia"/>
          <w:bCs/>
          <w:color w:val="auto"/>
          <w:kern w:val="2"/>
          <w:sz w:val="21"/>
        </w:rPr>
        <w:t xml:space="preserve">检查内部所有控制线路及带电线路是否绝缘良好 </w:t>
      </w:r>
    </w:p>
    <w:p>
      <w:pPr>
        <w:pStyle w:val="11"/>
        <w:numPr>
          <w:ilvl w:val="0"/>
          <w:numId w:val="2"/>
        </w:numPr>
        <w:spacing w:line="360" w:lineRule="auto"/>
        <w:rPr>
          <w:bCs/>
          <w:color w:val="auto"/>
          <w:kern w:val="2"/>
          <w:sz w:val="21"/>
        </w:rPr>
      </w:pPr>
      <w:r>
        <w:rPr>
          <w:rFonts w:hint="eastAsia"/>
          <w:bCs/>
          <w:color w:val="auto"/>
          <w:kern w:val="2"/>
          <w:sz w:val="21"/>
        </w:rPr>
        <w:t xml:space="preserve">断电情况下对UPS系统内部所有端子进行物理检查 </w:t>
      </w:r>
    </w:p>
    <w:p>
      <w:pPr>
        <w:pStyle w:val="11"/>
        <w:numPr>
          <w:ilvl w:val="0"/>
          <w:numId w:val="2"/>
        </w:numPr>
        <w:spacing w:line="360" w:lineRule="auto"/>
        <w:rPr>
          <w:bCs/>
          <w:color w:val="auto"/>
          <w:kern w:val="2"/>
          <w:sz w:val="21"/>
        </w:rPr>
      </w:pPr>
      <w:r>
        <w:rPr>
          <w:rFonts w:hint="eastAsia"/>
          <w:bCs/>
          <w:color w:val="auto"/>
          <w:kern w:val="2"/>
          <w:sz w:val="21"/>
        </w:rPr>
        <w:t xml:space="preserve">按采购方要求实施功能检测 </w:t>
      </w:r>
    </w:p>
    <w:p>
      <w:pPr>
        <w:pStyle w:val="11"/>
        <w:numPr>
          <w:ilvl w:val="0"/>
          <w:numId w:val="2"/>
        </w:numPr>
        <w:spacing w:line="360" w:lineRule="auto"/>
        <w:rPr>
          <w:bCs/>
          <w:color w:val="auto"/>
          <w:kern w:val="2"/>
          <w:sz w:val="21"/>
        </w:rPr>
      </w:pPr>
      <w:r>
        <w:rPr>
          <w:rFonts w:hint="eastAsia"/>
          <w:bCs/>
          <w:color w:val="auto"/>
          <w:kern w:val="2"/>
          <w:sz w:val="21"/>
        </w:rPr>
        <w:t xml:space="preserve">应具备相应的单机/联机软件，对UPS的工作记录和报警记录进行检查，根据记录情况进行预防性维护 </w:t>
      </w:r>
    </w:p>
    <w:p>
      <w:pPr>
        <w:pStyle w:val="11"/>
        <w:numPr>
          <w:ilvl w:val="0"/>
          <w:numId w:val="2"/>
        </w:numPr>
        <w:spacing w:line="360" w:lineRule="auto"/>
        <w:rPr>
          <w:bCs/>
          <w:color w:val="auto"/>
          <w:kern w:val="2"/>
          <w:sz w:val="21"/>
        </w:rPr>
      </w:pPr>
      <w:r>
        <w:rPr>
          <w:rFonts w:hint="eastAsia"/>
          <w:bCs/>
          <w:color w:val="auto"/>
          <w:kern w:val="2"/>
          <w:sz w:val="21"/>
        </w:rPr>
        <w:t xml:space="preserve">检查布线是否正确，记录相关情况 </w:t>
      </w:r>
    </w:p>
    <w:p>
      <w:pPr>
        <w:pStyle w:val="11"/>
        <w:numPr>
          <w:ilvl w:val="0"/>
          <w:numId w:val="2"/>
        </w:numPr>
        <w:spacing w:line="360" w:lineRule="auto"/>
        <w:rPr>
          <w:bCs/>
          <w:color w:val="auto"/>
          <w:kern w:val="2"/>
          <w:sz w:val="21"/>
        </w:rPr>
      </w:pPr>
      <w:r>
        <w:rPr>
          <w:rFonts w:hint="eastAsia"/>
          <w:bCs/>
          <w:color w:val="auto"/>
          <w:kern w:val="2"/>
          <w:sz w:val="21"/>
        </w:rPr>
        <w:t xml:space="preserve">检查UPS设备，以确保所有连接处紧固，无松动 </w:t>
      </w:r>
    </w:p>
    <w:p>
      <w:pPr>
        <w:pStyle w:val="11"/>
        <w:numPr>
          <w:ilvl w:val="0"/>
          <w:numId w:val="2"/>
        </w:numPr>
        <w:spacing w:line="360" w:lineRule="auto"/>
        <w:rPr>
          <w:bCs/>
          <w:color w:val="auto"/>
          <w:kern w:val="2"/>
          <w:sz w:val="21"/>
        </w:rPr>
      </w:pPr>
      <w:r>
        <w:rPr>
          <w:rFonts w:hint="eastAsia"/>
          <w:bCs/>
          <w:color w:val="auto"/>
          <w:kern w:val="2"/>
          <w:sz w:val="21"/>
        </w:rPr>
        <w:t xml:space="preserve">确认内部功能正常 </w:t>
      </w:r>
    </w:p>
    <w:p>
      <w:pPr>
        <w:pStyle w:val="11"/>
        <w:numPr>
          <w:ilvl w:val="0"/>
          <w:numId w:val="2"/>
        </w:numPr>
        <w:spacing w:line="360" w:lineRule="auto"/>
        <w:rPr>
          <w:bCs/>
          <w:color w:val="auto"/>
          <w:kern w:val="2"/>
          <w:sz w:val="21"/>
        </w:rPr>
      </w:pPr>
      <w:r>
        <w:rPr>
          <w:rFonts w:hint="eastAsia"/>
          <w:bCs/>
          <w:color w:val="auto"/>
          <w:kern w:val="2"/>
          <w:sz w:val="21"/>
        </w:rPr>
        <w:t xml:space="preserve">检查旁路工作是否正常，包括静态旁路和手动旁路 </w:t>
      </w:r>
    </w:p>
    <w:p>
      <w:pPr>
        <w:pStyle w:val="11"/>
        <w:numPr>
          <w:ilvl w:val="0"/>
          <w:numId w:val="2"/>
        </w:numPr>
        <w:spacing w:line="360" w:lineRule="auto"/>
        <w:rPr>
          <w:bCs/>
          <w:color w:val="auto"/>
          <w:kern w:val="2"/>
          <w:sz w:val="21"/>
        </w:rPr>
      </w:pPr>
      <w:r>
        <w:rPr>
          <w:rFonts w:hint="eastAsia"/>
          <w:bCs/>
          <w:color w:val="auto"/>
          <w:kern w:val="2"/>
          <w:sz w:val="21"/>
        </w:rPr>
        <w:t xml:space="preserve">记录所有显示数据和环境参数，包括： </w:t>
      </w:r>
    </w:p>
    <w:p>
      <w:pPr>
        <w:pStyle w:val="11"/>
        <w:spacing w:line="360" w:lineRule="auto"/>
        <w:ind w:firstLine="420" w:firstLineChars="200"/>
        <w:rPr>
          <w:bCs/>
          <w:color w:val="auto"/>
          <w:kern w:val="2"/>
          <w:sz w:val="21"/>
        </w:rPr>
      </w:pPr>
      <w:r>
        <w:rPr>
          <w:rFonts w:hint="eastAsia"/>
          <w:bCs/>
          <w:color w:val="auto"/>
          <w:kern w:val="2"/>
          <w:sz w:val="21"/>
        </w:rPr>
        <w:t xml:space="preserve">- 测量进线负载电流和接地电流 </w:t>
      </w:r>
    </w:p>
    <w:p>
      <w:pPr>
        <w:pStyle w:val="11"/>
        <w:spacing w:line="360" w:lineRule="auto"/>
        <w:ind w:firstLine="420" w:firstLineChars="200"/>
        <w:rPr>
          <w:bCs/>
          <w:color w:val="auto"/>
          <w:kern w:val="2"/>
          <w:sz w:val="21"/>
        </w:rPr>
      </w:pPr>
      <w:r>
        <w:rPr>
          <w:rFonts w:hint="eastAsia"/>
          <w:bCs/>
          <w:color w:val="auto"/>
          <w:kern w:val="2"/>
          <w:sz w:val="21"/>
        </w:rPr>
        <w:t xml:space="preserve">- 测量配电盘承载电流 </w:t>
      </w:r>
    </w:p>
    <w:p>
      <w:pPr>
        <w:pStyle w:val="11"/>
        <w:spacing w:line="360" w:lineRule="auto"/>
        <w:ind w:firstLine="420" w:firstLineChars="200"/>
        <w:rPr>
          <w:bCs/>
          <w:color w:val="auto"/>
          <w:kern w:val="2"/>
          <w:sz w:val="21"/>
        </w:rPr>
      </w:pPr>
      <w:r>
        <w:rPr>
          <w:rFonts w:hint="eastAsia"/>
          <w:bCs/>
          <w:color w:val="auto"/>
          <w:kern w:val="2"/>
          <w:sz w:val="21"/>
        </w:rPr>
        <w:t xml:space="preserve">- 测量支路的电压和电流 </w:t>
      </w:r>
    </w:p>
    <w:p>
      <w:pPr>
        <w:pStyle w:val="11"/>
        <w:numPr>
          <w:ilvl w:val="0"/>
          <w:numId w:val="2"/>
        </w:numPr>
        <w:spacing w:line="360" w:lineRule="auto"/>
        <w:rPr>
          <w:bCs/>
          <w:color w:val="auto"/>
          <w:kern w:val="2"/>
          <w:sz w:val="21"/>
        </w:rPr>
      </w:pPr>
      <w:r>
        <w:rPr>
          <w:rFonts w:hint="eastAsia"/>
          <w:bCs/>
          <w:color w:val="auto"/>
          <w:kern w:val="2"/>
          <w:sz w:val="21"/>
        </w:rPr>
        <w:t xml:space="preserve">进行蓄电池参数测试，用专用电池测量仪表测量每块蓄电池的电压、内阻等参数，出具电池参数报告供采购方参考。 </w:t>
      </w:r>
    </w:p>
    <w:p>
      <w:pPr>
        <w:pStyle w:val="11"/>
        <w:numPr>
          <w:ilvl w:val="0"/>
          <w:numId w:val="2"/>
        </w:numPr>
        <w:spacing w:line="360" w:lineRule="auto"/>
        <w:rPr>
          <w:bCs/>
          <w:color w:val="auto"/>
          <w:kern w:val="2"/>
          <w:sz w:val="21"/>
        </w:rPr>
      </w:pPr>
      <w:r>
        <w:rPr>
          <w:rFonts w:hint="eastAsia"/>
          <w:bCs/>
          <w:color w:val="auto"/>
          <w:kern w:val="2"/>
          <w:sz w:val="21"/>
        </w:rPr>
        <w:t xml:space="preserve">月度检查各项 </w:t>
      </w:r>
    </w:p>
    <w:p>
      <w:pPr>
        <w:pStyle w:val="2"/>
        <w:numPr>
          <w:ilvl w:val="0"/>
          <w:numId w:val="2"/>
        </w:numPr>
        <w:ind w:firstLineChars="0"/>
        <w:rPr>
          <w:bCs/>
          <w:sz w:val="21"/>
        </w:rPr>
      </w:pPr>
      <w:r>
        <w:rPr>
          <w:rFonts w:hint="eastAsia"/>
          <w:bCs/>
          <w:sz w:val="21"/>
        </w:rPr>
        <w:t>每季度现场维护后，7日内提交维修报告至采购方，出具电池参数报告供采购方参考。</w:t>
      </w:r>
    </w:p>
    <w:p>
      <w:pPr>
        <w:pStyle w:val="2"/>
        <w:numPr>
          <w:ilvl w:val="0"/>
          <w:numId w:val="1"/>
        </w:numPr>
        <w:ind w:firstLine="420"/>
        <w:rPr>
          <w:bCs/>
          <w:sz w:val="21"/>
          <w:szCs w:val="21"/>
        </w:rPr>
      </w:pPr>
      <w:r>
        <w:rPr>
          <w:rFonts w:hint="eastAsia"/>
          <w:bCs/>
          <w:sz w:val="21"/>
          <w:szCs w:val="21"/>
        </w:rPr>
        <w:t>服务要求：</w:t>
      </w:r>
    </w:p>
    <w:p>
      <w:pPr>
        <w:pStyle w:val="2"/>
        <w:numPr>
          <w:ilvl w:val="0"/>
          <w:numId w:val="3"/>
        </w:numPr>
        <w:ind w:firstLineChars="0"/>
        <w:rPr>
          <w:bCs/>
          <w:sz w:val="21"/>
          <w:szCs w:val="21"/>
        </w:rPr>
      </w:pPr>
      <w:r>
        <w:rPr>
          <w:rFonts w:hint="eastAsia"/>
          <w:bCs/>
          <w:sz w:val="21"/>
          <w:szCs w:val="21"/>
        </w:rPr>
        <w:t>供货商提供更换的UPS蓄电池1年质保期。</w:t>
      </w:r>
    </w:p>
    <w:p>
      <w:pPr>
        <w:pStyle w:val="2"/>
        <w:numPr>
          <w:ilvl w:val="0"/>
          <w:numId w:val="3"/>
        </w:numPr>
        <w:ind w:firstLineChars="0"/>
        <w:rPr>
          <w:rFonts w:ascii="宋体" w:hAnsi="宋体" w:cs="宋体"/>
          <w:color w:val="333333"/>
          <w:kern w:val="0"/>
          <w:sz w:val="21"/>
          <w:szCs w:val="21"/>
        </w:rPr>
      </w:pPr>
      <w:r>
        <w:rPr>
          <w:rFonts w:hint="eastAsia" w:ascii="宋体" w:hAnsi="宋体" w:cs="宋体"/>
          <w:color w:val="333333"/>
          <w:kern w:val="0"/>
          <w:sz w:val="21"/>
          <w:szCs w:val="21"/>
        </w:rPr>
        <w:t>必须选派具有丰富维修保养经验、工作敬业的维修保养技工/技师完成本合同规定的维修保养工作。供货商维修保养人员必须遵守采购方之管理规定。在维护保养时，不得影响采购方正常工作和经营活动，否则，一切责任由供货商承担。</w:t>
      </w:r>
    </w:p>
    <w:p>
      <w:pPr>
        <w:pStyle w:val="2"/>
        <w:numPr>
          <w:ilvl w:val="0"/>
          <w:numId w:val="3"/>
        </w:numPr>
        <w:ind w:firstLineChars="0"/>
        <w:rPr>
          <w:rFonts w:ascii="宋体" w:hAnsi="宋体"/>
          <w:sz w:val="21"/>
          <w:szCs w:val="21"/>
        </w:rPr>
      </w:pPr>
      <w:r>
        <w:rPr>
          <w:rFonts w:hint="eastAsia" w:ascii="宋体" w:hAnsi="宋体"/>
          <w:sz w:val="21"/>
          <w:szCs w:val="21"/>
        </w:rPr>
        <w:t>供货商须服从采购方人员对维保过程的监督、管理。</w:t>
      </w:r>
    </w:p>
    <w:p>
      <w:pPr>
        <w:pStyle w:val="2"/>
        <w:numPr>
          <w:ilvl w:val="0"/>
          <w:numId w:val="3"/>
        </w:numPr>
        <w:ind w:firstLineChars="0"/>
        <w:rPr>
          <w:rFonts w:ascii="宋体" w:hAnsi="宋体"/>
          <w:sz w:val="21"/>
          <w:szCs w:val="21"/>
        </w:rPr>
      </w:pPr>
      <w:r>
        <w:rPr>
          <w:rFonts w:hint="eastAsia" w:ascii="宋体" w:hAnsi="宋体"/>
          <w:sz w:val="21"/>
          <w:szCs w:val="21"/>
        </w:rPr>
        <w:t>供货商维护保养人员因施工不当或其他原因所引起的第三者人身伤害、财产损失以及自身的伤害等，均由供货商承担责任及费用。</w:t>
      </w:r>
    </w:p>
    <w:p>
      <w:pPr>
        <w:pStyle w:val="2"/>
        <w:numPr>
          <w:ilvl w:val="0"/>
          <w:numId w:val="3"/>
        </w:numPr>
        <w:ind w:firstLineChars="0"/>
        <w:rPr>
          <w:rFonts w:ascii="宋体" w:hAnsi="宋体"/>
          <w:sz w:val="21"/>
          <w:szCs w:val="21"/>
        </w:rPr>
      </w:pPr>
      <w:r>
        <w:rPr>
          <w:rFonts w:hint="eastAsia" w:ascii="宋体" w:hAnsi="宋体"/>
          <w:sz w:val="21"/>
          <w:szCs w:val="21"/>
        </w:rPr>
        <w:t>如因供货商维护保养人员的疏忽或过失而导致采购方财产或采购方代管之财产损坏时，供货商需无条件给予修复或赔偿。</w:t>
      </w:r>
    </w:p>
    <w:p>
      <w:pPr>
        <w:pStyle w:val="2"/>
        <w:numPr>
          <w:ilvl w:val="0"/>
          <w:numId w:val="3"/>
        </w:numPr>
        <w:ind w:firstLineChars="0"/>
        <w:rPr>
          <w:bCs/>
          <w:sz w:val="21"/>
          <w:u w:val="single"/>
        </w:rPr>
      </w:pPr>
      <w:r>
        <w:rPr>
          <w:rFonts w:hint="eastAsia" w:ascii="宋体" w:hAnsi="宋体"/>
          <w:sz w:val="21"/>
          <w:szCs w:val="21"/>
        </w:rPr>
        <w:t>供货商不得将本合同全部或部分转判予其他第三方。</w:t>
      </w:r>
    </w:p>
    <w:p>
      <w:pPr>
        <w:pStyle w:val="2"/>
        <w:numPr>
          <w:ilvl w:val="0"/>
          <w:numId w:val="3"/>
        </w:numPr>
        <w:ind w:firstLineChars="0"/>
        <w:rPr>
          <w:bCs/>
          <w:sz w:val="21"/>
        </w:rPr>
      </w:pPr>
      <w:r>
        <w:rPr>
          <w:bCs/>
          <w:sz w:val="21"/>
        </w:rPr>
        <w:t>UPS硬件保修、维护（劳务费和交通费），</w:t>
      </w:r>
      <w:r>
        <w:rPr>
          <w:rFonts w:hint="eastAsia"/>
          <w:bCs/>
          <w:sz w:val="21"/>
        </w:rPr>
        <w:t>供货商</w:t>
      </w:r>
      <w:r>
        <w:rPr>
          <w:bCs/>
          <w:sz w:val="21"/>
        </w:rPr>
        <w:t>应在保修过程中向</w:t>
      </w:r>
      <w:r>
        <w:rPr>
          <w:rFonts w:hint="eastAsia"/>
          <w:bCs/>
          <w:sz w:val="21"/>
        </w:rPr>
        <w:t>采购方</w:t>
      </w:r>
      <w:r>
        <w:rPr>
          <w:bCs/>
          <w:sz w:val="21"/>
        </w:rPr>
        <w:t>提供原厂全新配件</w:t>
      </w:r>
      <w:r>
        <w:rPr>
          <w:rFonts w:hint="eastAsia"/>
          <w:bCs/>
          <w:sz w:val="21"/>
        </w:rPr>
        <w:t>（费用另算）</w:t>
      </w:r>
      <w:r>
        <w:rPr>
          <w:bCs/>
          <w:sz w:val="21"/>
        </w:rPr>
        <w:t>。</w:t>
      </w:r>
    </w:p>
    <w:p>
      <w:pPr>
        <w:pStyle w:val="2"/>
        <w:numPr>
          <w:ilvl w:val="0"/>
          <w:numId w:val="3"/>
        </w:numPr>
        <w:ind w:firstLineChars="0"/>
        <w:rPr>
          <w:bCs/>
          <w:sz w:val="21"/>
        </w:rPr>
      </w:pPr>
      <w:r>
        <w:rPr>
          <w:rFonts w:hint="eastAsia"/>
          <w:bCs/>
          <w:sz w:val="21"/>
        </w:rPr>
        <w:t>供货商</w:t>
      </w:r>
      <w:r>
        <w:rPr>
          <w:bCs/>
          <w:sz w:val="21"/>
        </w:rPr>
        <w:t>提供全年7×24×2小时故障响应现场服务。</w:t>
      </w:r>
    </w:p>
    <w:p>
      <w:pPr>
        <w:pStyle w:val="2"/>
        <w:numPr>
          <w:ilvl w:val="0"/>
          <w:numId w:val="3"/>
        </w:numPr>
        <w:ind w:firstLineChars="0"/>
        <w:rPr>
          <w:bCs/>
          <w:sz w:val="21"/>
        </w:rPr>
      </w:pPr>
      <w:r>
        <w:rPr>
          <w:bCs/>
          <w:sz w:val="21"/>
        </w:rPr>
        <w:t>当</w:t>
      </w:r>
      <w:r>
        <w:rPr>
          <w:rFonts w:hint="eastAsia"/>
          <w:bCs/>
          <w:sz w:val="21"/>
        </w:rPr>
        <w:t>采购方</w:t>
      </w:r>
      <w:r>
        <w:rPr>
          <w:bCs/>
          <w:sz w:val="21"/>
        </w:rPr>
        <w:t>UPS系统遇到故障时，</w:t>
      </w:r>
      <w:r>
        <w:rPr>
          <w:rFonts w:hint="eastAsia"/>
          <w:bCs/>
          <w:sz w:val="21"/>
        </w:rPr>
        <w:t>供货商</w:t>
      </w:r>
      <w:r>
        <w:rPr>
          <w:bCs/>
          <w:sz w:val="21"/>
        </w:rPr>
        <w:t>应在接到</w:t>
      </w:r>
      <w:r>
        <w:rPr>
          <w:rFonts w:hint="eastAsia"/>
          <w:bCs/>
          <w:sz w:val="21"/>
        </w:rPr>
        <w:t>采购方</w:t>
      </w:r>
      <w:r>
        <w:rPr>
          <w:bCs/>
          <w:sz w:val="21"/>
        </w:rPr>
        <w:t>通知后，</w:t>
      </w:r>
      <w:r>
        <w:rPr>
          <w:rFonts w:hint="eastAsia"/>
          <w:bCs/>
          <w:sz w:val="21"/>
        </w:rPr>
        <w:t>1</w:t>
      </w:r>
      <w:r>
        <w:rPr>
          <w:bCs/>
          <w:sz w:val="21"/>
        </w:rPr>
        <w:t>小时内到达故障设备处现场服务，到场后半小时内提供临时解决办法恢复</w:t>
      </w:r>
      <w:r>
        <w:rPr>
          <w:rFonts w:hint="eastAsia"/>
          <w:bCs/>
          <w:sz w:val="21"/>
        </w:rPr>
        <w:t>采购方</w:t>
      </w:r>
      <w:r>
        <w:rPr>
          <w:bCs/>
          <w:sz w:val="21"/>
        </w:rPr>
        <w:t>系统，使之正常运行，并于承诺12小时内彻底修复UPS故障设备（期间</w:t>
      </w:r>
      <w:r>
        <w:rPr>
          <w:rFonts w:hint="eastAsia"/>
          <w:bCs/>
          <w:sz w:val="21"/>
        </w:rPr>
        <w:t>供货商</w:t>
      </w:r>
      <w:r>
        <w:rPr>
          <w:bCs/>
          <w:sz w:val="21"/>
        </w:rPr>
        <w:t>应负责备件运输、安装、调试等工作）。如</w:t>
      </w:r>
      <w:r>
        <w:rPr>
          <w:rFonts w:hint="eastAsia"/>
          <w:bCs/>
          <w:sz w:val="21"/>
        </w:rPr>
        <w:t>供货商</w:t>
      </w:r>
      <w:r>
        <w:rPr>
          <w:bCs/>
          <w:sz w:val="21"/>
        </w:rPr>
        <w:t>在</w:t>
      </w:r>
      <w:r>
        <w:rPr>
          <w:rFonts w:hint="eastAsia"/>
          <w:bCs/>
          <w:sz w:val="21"/>
        </w:rPr>
        <w:t>采购方</w:t>
      </w:r>
      <w:r>
        <w:rPr>
          <w:bCs/>
          <w:sz w:val="21"/>
        </w:rPr>
        <w:t>故障发生后的12小时内仍无法彻底修复的，应向</w:t>
      </w:r>
      <w:r>
        <w:rPr>
          <w:rFonts w:hint="eastAsia"/>
          <w:bCs/>
          <w:sz w:val="21"/>
        </w:rPr>
        <w:t>采购方</w:t>
      </w:r>
      <w:r>
        <w:rPr>
          <w:bCs/>
          <w:sz w:val="21"/>
        </w:rPr>
        <w:t>提供与</w:t>
      </w:r>
      <w:r>
        <w:rPr>
          <w:rFonts w:hint="eastAsia"/>
          <w:bCs/>
          <w:sz w:val="21"/>
        </w:rPr>
        <w:t>采购方</w:t>
      </w:r>
      <w:r>
        <w:rPr>
          <w:bCs/>
          <w:sz w:val="21"/>
        </w:rPr>
        <w:t>现有设备功能相当的备用件。</w:t>
      </w:r>
    </w:p>
    <w:p>
      <w:pPr>
        <w:pStyle w:val="2"/>
        <w:numPr>
          <w:ilvl w:val="0"/>
          <w:numId w:val="3"/>
        </w:numPr>
        <w:ind w:firstLineChars="0"/>
        <w:rPr>
          <w:rFonts w:hint="eastAsia"/>
          <w:bCs/>
          <w:sz w:val="21"/>
        </w:rPr>
      </w:pPr>
      <w:r>
        <w:rPr>
          <w:rFonts w:hint="eastAsia"/>
          <w:bCs/>
          <w:sz w:val="21"/>
        </w:rPr>
        <w:t>供货商</w:t>
      </w:r>
      <w:r>
        <w:rPr>
          <w:bCs/>
          <w:sz w:val="21"/>
        </w:rPr>
        <w:t>应在故障修复后3个工作日内向</w:t>
      </w:r>
      <w:r>
        <w:rPr>
          <w:rFonts w:hint="eastAsia"/>
          <w:bCs/>
          <w:sz w:val="21"/>
        </w:rPr>
        <w:t>采购方</w:t>
      </w:r>
      <w:r>
        <w:rPr>
          <w:bCs/>
          <w:sz w:val="21"/>
        </w:rPr>
        <w:t>提交书面检修报告及建议。</w:t>
      </w:r>
    </w:p>
    <w:p>
      <w:pPr>
        <w:pStyle w:val="2"/>
        <w:numPr>
          <w:ilvl w:val="0"/>
          <w:numId w:val="3"/>
        </w:numPr>
        <w:ind w:firstLineChars="0"/>
        <w:rPr>
          <w:bCs/>
          <w:sz w:val="21"/>
          <w:highlight w:val="none"/>
        </w:rPr>
      </w:pPr>
      <w:r>
        <w:rPr>
          <w:rFonts w:hint="eastAsia"/>
          <w:bCs/>
          <w:sz w:val="21"/>
          <w:highlight w:val="none"/>
        </w:rPr>
        <w:t>成品保护：成交供应商应保证所供货物在验收移交前的保护。</w:t>
      </w:r>
    </w:p>
    <w:p>
      <w:pPr>
        <w:pStyle w:val="2"/>
        <w:numPr>
          <w:ilvl w:val="0"/>
          <w:numId w:val="3"/>
        </w:numPr>
        <w:ind w:firstLineChars="0"/>
        <w:rPr>
          <w:rFonts w:hint="eastAsia"/>
          <w:bCs/>
          <w:sz w:val="21"/>
          <w:highlight w:val="none"/>
        </w:rPr>
      </w:pPr>
      <w:r>
        <w:rPr>
          <w:rFonts w:hint="eastAsia"/>
          <w:bCs/>
          <w:sz w:val="21"/>
          <w:highlight w:val="none"/>
        </w:rPr>
        <w:t>响应单位应严格按照采购文件的有关规定提供合格商品，保证货物为全新、未使用的原装正品</w:t>
      </w:r>
      <w:r>
        <w:rPr>
          <w:rFonts w:hint="eastAsia"/>
          <w:bCs/>
          <w:sz w:val="21"/>
          <w:highlight w:val="none"/>
          <w:lang w:eastAsia="zh-CN"/>
        </w:rPr>
        <w:t>，蓄电池出厂日期为</w:t>
      </w:r>
      <w:r>
        <w:rPr>
          <w:rFonts w:hint="eastAsia"/>
          <w:bCs/>
          <w:sz w:val="21"/>
          <w:highlight w:val="none"/>
          <w:lang w:val="en-US" w:eastAsia="zh-CN"/>
        </w:rPr>
        <w:t>2019年9月以后的产品，</w:t>
      </w:r>
      <w:r>
        <w:rPr>
          <w:rFonts w:hint="eastAsia"/>
          <w:bCs/>
          <w:sz w:val="21"/>
          <w:highlight w:val="none"/>
        </w:rPr>
        <w:t>由采购方确认后才可更换。</w:t>
      </w:r>
    </w:p>
    <w:p>
      <w:pPr>
        <w:spacing w:line="400" w:lineRule="exact"/>
        <w:ind w:firstLine="420" w:firstLineChars="200"/>
      </w:pPr>
      <w:r>
        <w:rPr>
          <w:rFonts w:hint="eastAsia"/>
        </w:rPr>
        <w:t xml:space="preserve">五、综合说明及其他要求： </w:t>
      </w:r>
    </w:p>
    <w:p>
      <w:pPr>
        <w:spacing w:line="400" w:lineRule="exact"/>
        <w:ind w:firstLine="411" w:firstLineChars="196"/>
        <w:rPr>
          <w:rFonts w:ascii="宋体" w:hAnsi="宋体"/>
          <w:szCs w:val="21"/>
        </w:rPr>
      </w:pPr>
      <w:r>
        <w:rPr>
          <w:rFonts w:hint="eastAsia" w:ascii="宋体" w:hAnsi="宋体"/>
          <w:szCs w:val="21"/>
        </w:rPr>
        <w:t>1、合同价格实际包括人工费、差旅费及其它辅助费用、管理、维护、保险、利润、税金、政策性文件规定及合同包含的所有风险、责任等各项应有费用。</w:t>
      </w:r>
    </w:p>
    <w:p>
      <w:pPr>
        <w:spacing w:line="400" w:lineRule="exact"/>
        <w:ind w:firstLine="411" w:firstLineChars="196"/>
        <w:rPr>
          <w:rFonts w:ascii="宋体" w:hAnsi="宋体"/>
          <w:szCs w:val="21"/>
        </w:rPr>
      </w:pPr>
      <w:r>
        <w:rPr>
          <w:rFonts w:hint="eastAsia" w:ascii="宋体" w:hAnsi="宋体"/>
          <w:szCs w:val="21"/>
        </w:rPr>
        <w:t>2、质量要求、验收标准：投标供应商中标</w:t>
      </w:r>
      <w:bookmarkStart w:id="0" w:name="_GoBack"/>
      <w:bookmarkEnd w:id="0"/>
      <w:r>
        <w:rPr>
          <w:rFonts w:hint="eastAsia" w:ascii="宋体" w:hAnsi="宋体"/>
          <w:szCs w:val="21"/>
        </w:rPr>
        <w:t>后提供服务均为按国家规格条例的合格正规服务、符合设计规范要求。应能保证所提供服务涉及到的知识产权是合法取得，并享有完整的知识产权，不会因为采购方的使用而被责令停止使用、追偿或要求赔偿损失，如出现此情况，一切经济和法律责任均由供货商承担。供货商提供的所有服务必须质量符合国际或国家通用标准，如出现质量问题，供应商负责修缮，发生的费用由供应商负责。</w:t>
      </w:r>
    </w:p>
    <w:p>
      <w:pPr>
        <w:spacing w:line="380" w:lineRule="exact"/>
        <w:ind w:right="-159" w:firstLine="420" w:firstLineChars="200"/>
        <w:rPr>
          <w:rFonts w:ascii="宋体" w:hAnsi="宋体"/>
          <w:szCs w:val="21"/>
        </w:rPr>
      </w:pPr>
      <w:r>
        <w:rPr>
          <w:rFonts w:hint="eastAsia" w:ascii="宋体" w:hAnsi="宋体"/>
          <w:szCs w:val="21"/>
        </w:rPr>
        <w:t>3、费用结算：</w:t>
      </w:r>
    </w:p>
    <w:p>
      <w:pPr>
        <w:pStyle w:val="2"/>
        <w:ind w:firstLine="630" w:firstLineChars="300"/>
        <w:rPr>
          <w:sz w:val="21"/>
        </w:rPr>
      </w:pPr>
      <w:r>
        <w:rPr>
          <w:rFonts w:hint="eastAsia"/>
          <w:sz w:val="21"/>
        </w:rPr>
        <w:t>3.1手术室</w:t>
      </w:r>
      <w:r>
        <w:rPr>
          <w:rFonts w:hint="eastAsia"/>
          <w:bCs/>
          <w:sz w:val="21"/>
          <w:szCs w:val="21"/>
        </w:rPr>
        <w:t>UPS蓄电池更换验收合格后支付更换蓄电池金额的80%，质保期1年后设备运行正常支付20%。</w:t>
      </w:r>
    </w:p>
    <w:p>
      <w:pPr>
        <w:spacing w:line="380" w:lineRule="exact"/>
        <w:ind w:right="-159" w:firstLine="630" w:firstLineChars="300"/>
        <w:rPr>
          <w:rFonts w:ascii="宋体" w:hAnsi="宋体"/>
          <w:szCs w:val="21"/>
        </w:rPr>
      </w:pPr>
      <w:r>
        <w:rPr>
          <w:rFonts w:hint="eastAsia" w:ascii="宋体" w:hAnsi="宋体"/>
          <w:szCs w:val="21"/>
        </w:rPr>
        <w:t>3.2</w:t>
      </w:r>
      <w:r>
        <w:rPr>
          <w:rFonts w:hint="eastAsia"/>
        </w:rPr>
        <w:t xml:space="preserve">在合同生效供货商提供维保服务满半年后，采购方支付50%的维保服务费用给供货商；在供货商提供维保服务满一年后一个月内无任何设备运行问题后，采购方支付剩余50%的服务费用给供货商。  </w:t>
      </w:r>
    </w:p>
    <w:p>
      <w:pPr>
        <w:pStyle w:val="10"/>
        <w:spacing w:line="400" w:lineRule="exact"/>
        <w:ind w:firstLine="420" w:firstLineChars="200"/>
        <w:rPr>
          <w:rFonts w:hAnsi="宋体" w:eastAsia="宋体"/>
          <w:sz w:val="21"/>
          <w:szCs w:val="21"/>
          <w:lang w:val="zh-CN"/>
        </w:rPr>
      </w:pPr>
      <w:r>
        <w:rPr>
          <w:rFonts w:hint="eastAsia" w:hAnsi="宋体" w:eastAsia="宋体"/>
          <w:sz w:val="21"/>
          <w:szCs w:val="21"/>
        </w:rPr>
        <w:t>4</w:t>
      </w:r>
      <w:r>
        <w:rPr>
          <w:rFonts w:hAnsi="宋体" w:eastAsia="宋体"/>
          <w:sz w:val="21"/>
          <w:szCs w:val="21"/>
        </w:rPr>
        <w:t>、需采购人配合的工作：在服务过程中需要采购人配合的工作和需要提供的条件。</w:t>
      </w:r>
    </w:p>
    <w:p>
      <w:pPr>
        <w:spacing w:line="400" w:lineRule="exact"/>
        <w:ind w:left="-899" w:leftChars="-428" w:right="-161" w:firstLine="1306" w:firstLineChars="622"/>
        <w:rPr>
          <w:bCs/>
        </w:rPr>
      </w:pPr>
      <w:r>
        <w:rPr>
          <w:rFonts w:hint="eastAsia"/>
        </w:rPr>
        <w:t>六、招标响应文件的组成及要求：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numPr>
          <w:ilvl w:val="0"/>
          <w:numId w:val="4"/>
        </w:numPr>
        <w:spacing w:line="400" w:lineRule="exact"/>
        <w:ind w:left="0" w:firstLine="420" w:firstLineChars="200"/>
      </w:pPr>
      <w:r>
        <w:rPr>
          <w:rFonts w:hint="eastAsia"/>
        </w:rPr>
        <w:t>营业执照副本复印件；</w:t>
      </w:r>
    </w:p>
    <w:p>
      <w:pPr>
        <w:numPr>
          <w:ilvl w:val="0"/>
          <w:numId w:val="4"/>
        </w:numPr>
        <w:spacing w:line="400" w:lineRule="exact"/>
        <w:ind w:left="0" w:firstLine="420" w:firstLineChars="200"/>
        <w:rPr>
          <w:rFonts w:hAnsi="宋体"/>
        </w:rPr>
      </w:pPr>
      <w:r>
        <w:rPr>
          <w:rFonts w:hint="eastAsia" w:hAnsi="宋体"/>
        </w:rPr>
        <w:t>法人及法人授权代表身份证复印件</w:t>
      </w:r>
      <w:r>
        <w:rPr>
          <w:rFonts w:hAnsi="宋体"/>
        </w:rPr>
        <w:t>；</w:t>
      </w:r>
    </w:p>
    <w:p>
      <w:pPr>
        <w:numPr>
          <w:ilvl w:val="0"/>
          <w:numId w:val="4"/>
        </w:numPr>
        <w:spacing w:line="400" w:lineRule="exact"/>
        <w:ind w:left="0" w:firstLine="420" w:firstLineChars="200"/>
        <w:rPr>
          <w:rFonts w:hAnsi="宋体"/>
        </w:rPr>
      </w:pPr>
      <w:r>
        <w:rPr>
          <w:rFonts w:hint="eastAsia" w:hAnsi="宋体"/>
        </w:rPr>
        <w:t>法定代表人授权委托书原件；</w:t>
      </w:r>
      <w:r>
        <w:rPr>
          <w:rFonts w:hAnsi="宋体"/>
        </w:rPr>
        <w:t xml:space="preserve"> </w:t>
      </w:r>
    </w:p>
    <w:p>
      <w:pPr>
        <w:numPr>
          <w:ilvl w:val="0"/>
          <w:numId w:val="4"/>
        </w:numPr>
        <w:spacing w:line="400" w:lineRule="exact"/>
        <w:ind w:left="0" w:firstLine="420" w:firstLineChars="200"/>
        <w:rPr>
          <w:rFonts w:hAnsi="宋体"/>
        </w:rPr>
      </w:pPr>
      <w:r>
        <w:rPr>
          <w:rFonts w:hint="eastAsia" w:hAnsi="宋体"/>
        </w:rPr>
        <w:t xml:space="preserve">具有履行合同所必需的设备和专业技术能力证明； </w:t>
      </w:r>
    </w:p>
    <w:p>
      <w:pPr>
        <w:numPr>
          <w:ilvl w:val="0"/>
          <w:numId w:val="4"/>
        </w:numPr>
        <w:spacing w:line="400" w:lineRule="exact"/>
        <w:ind w:left="0" w:firstLine="420" w:firstLineChars="200"/>
        <w:rPr>
          <w:rFonts w:hAnsi="宋体"/>
        </w:rPr>
      </w:pPr>
      <w:r>
        <w:rPr>
          <w:rFonts w:hint="eastAsia" w:hAnsi="宋体"/>
        </w:rPr>
        <w:t xml:space="preserve">有依法缴纳税收和社会保障资金的良好记录； </w:t>
      </w:r>
    </w:p>
    <w:p>
      <w:pPr>
        <w:numPr>
          <w:ilvl w:val="0"/>
          <w:numId w:val="4"/>
        </w:numPr>
        <w:spacing w:line="400" w:lineRule="exact"/>
        <w:ind w:left="0" w:firstLine="420" w:firstLineChars="200"/>
      </w:pPr>
      <w:r>
        <w:rPr>
          <w:rFonts w:hint="eastAsia"/>
        </w:rPr>
        <w:t>参加政府采购活动前三年内，在经营活动中没有重大违法记录的承诺；</w:t>
      </w:r>
    </w:p>
    <w:p>
      <w:pPr>
        <w:numPr>
          <w:ilvl w:val="0"/>
          <w:numId w:val="4"/>
        </w:numPr>
        <w:autoSpaceDE w:val="0"/>
        <w:autoSpaceDN w:val="0"/>
        <w:spacing w:line="400" w:lineRule="exact"/>
        <w:ind w:left="0" w:firstLine="420" w:firstLineChars="200"/>
        <w:rPr>
          <w:rFonts w:hAnsi="宋体"/>
          <w:kern w:val="0"/>
          <w:szCs w:val="21"/>
        </w:rPr>
      </w:pPr>
      <w:r>
        <w:rPr>
          <w:rFonts w:hint="eastAsia" w:hAnsi="宋体"/>
          <w:kern w:val="0"/>
          <w:szCs w:val="21"/>
        </w:rPr>
        <w:t xml:space="preserve">业绩证明材料； </w:t>
      </w:r>
    </w:p>
    <w:p>
      <w:pPr>
        <w:numPr>
          <w:ilvl w:val="0"/>
          <w:numId w:val="4"/>
        </w:numPr>
        <w:autoSpaceDE w:val="0"/>
        <w:autoSpaceDN w:val="0"/>
        <w:spacing w:line="400" w:lineRule="exact"/>
        <w:ind w:left="0" w:firstLine="420" w:firstLineChars="200"/>
        <w:rPr>
          <w:rFonts w:hAnsi="宋体"/>
          <w:kern w:val="0"/>
          <w:szCs w:val="21"/>
        </w:rPr>
      </w:pPr>
      <w:r>
        <w:rPr>
          <w:rFonts w:hint="eastAsia" w:hAnsi="宋体"/>
          <w:szCs w:val="21"/>
        </w:rPr>
        <w:t>详细维护保养方案说明</w:t>
      </w:r>
      <w:r>
        <w:rPr>
          <w:rFonts w:hint="eastAsia" w:hAnsi="宋体"/>
          <w:kern w:val="0"/>
          <w:szCs w:val="21"/>
        </w:rPr>
        <w:t>；</w:t>
      </w:r>
    </w:p>
    <w:p>
      <w:pPr>
        <w:pStyle w:val="2"/>
        <w:numPr>
          <w:ilvl w:val="0"/>
          <w:numId w:val="4"/>
        </w:numPr>
        <w:ind w:left="0" w:firstLine="420"/>
        <w:rPr>
          <w:sz w:val="21"/>
          <w:szCs w:val="21"/>
        </w:rPr>
      </w:pPr>
      <w:r>
        <w:rPr>
          <w:rFonts w:hint="eastAsia"/>
          <w:sz w:val="21"/>
          <w:szCs w:val="21"/>
        </w:rPr>
        <w:t>更换蓄电池明细，产品介绍，检测报告，产品厂家营业执照等；</w:t>
      </w:r>
    </w:p>
    <w:p>
      <w:pPr>
        <w:numPr>
          <w:ilvl w:val="0"/>
          <w:numId w:val="4"/>
        </w:numPr>
        <w:autoSpaceDE w:val="0"/>
        <w:autoSpaceDN w:val="0"/>
        <w:spacing w:line="400" w:lineRule="exact"/>
        <w:ind w:left="0" w:firstLine="420" w:firstLineChars="200"/>
        <w:rPr>
          <w:rFonts w:hAnsi="宋体"/>
          <w:kern w:val="0"/>
          <w:szCs w:val="21"/>
        </w:rPr>
      </w:pPr>
      <w:r>
        <w:rPr>
          <w:rFonts w:hint="eastAsia" w:hAnsi="宋体"/>
          <w:kern w:val="0"/>
          <w:szCs w:val="21"/>
        </w:rPr>
        <w:t>维护保养人员安排计划、岗位分配情况；</w:t>
      </w:r>
    </w:p>
    <w:p>
      <w:pPr>
        <w:numPr>
          <w:ilvl w:val="0"/>
          <w:numId w:val="4"/>
        </w:numPr>
        <w:autoSpaceDE w:val="0"/>
        <w:autoSpaceDN w:val="0"/>
        <w:spacing w:line="400" w:lineRule="exact"/>
        <w:ind w:left="0" w:firstLine="420" w:firstLineChars="200"/>
        <w:rPr>
          <w:rFonts w:hAnsi="宋体"/>
          <w:kern w:val="0"/>
          <w:szCs w:val="21"/>
        </w:rPr>
      </w:pPr>
      <w:r>
        <w:rPr>
          <w:rFonts w:hint="eastAsia" w:hAnsi="宋体"/>
          <w:kern w:val="0"/>
          <w:szCs w:val="21"/>
        </w:rPr>
        <w:t>现场维护保养技术人员名单、资格证书及简介；</w:t>
      </w:r>
    </w:p>
    <w:p>
      <w:pPr>
        <w:numPr>
          <w:ilvl w:val="0"/>
          <w:numId w:val="4"/>
        </w:numPr>
        <w:autoSpaceDE w:val="0"/>
        <w:autoSpaceDN w:val="0"/>
        <w:spacing w:line="400" w:lineRule="exact"/>
        <w:ind w:left="0" w:firstLine="420" w:firstLineChars="200"/>
        <w:rPr>
          <w:rFonts w:hAnsi="宋体"/>
          <w:kern w:val="0"/>
          <w:szCs w:val="21"/>
        </w:rPr>
      </w:pPr>
      <w:r>
        <w:rPr>
          <w:rFonts w:hint="eastAsia" w:hAnsi="宋体"/>
          <w:kern w:val="0"/>
          <w:szCs w:val="21"/>
        </w:rPr>
        <w:t>本地固定服务场所及维护保养人员证明材料；</w:t>
      </w:r>
    </w:p>
    <w:p>
      <w:pPr>
        <w:numPr>
          <w:ilvl w:val="0"/>
          <w:numId w:val="4"/>
        </w:numPr>
        <w:autoSpaceDE w:val="0"/>
        <w:autoSpaceDN w:val="0"/>
        <w:spacing w:line="400" w:lineRule="exact"/>
        <w:ind w:left="0" w:firstLine="420" w:firstLineChars="200"/>
        <w:rPr>
          <w:rFonts w:hAnsi="宋体"/>
          <w:kern w:val="0"/>
          <w:szCs w:val="21"/>
        </w:rPr>
      </w:pPr>
      <w:r>
        <w:rPr>
          <w:rFonts w:hint="eastAsia" w:hAnsi="宋体"/>
          <w:kern w:val="0"/>
          <w:szCs w:val="21"/>
        </w:rPr>
        <w:t>维护保养保障承诺书；</w:t>
      </w:r>
    </w:p>
    <w:p>
      <w:pPr>
        <w:numPr>
          <w:ilvl w:val="0"/>
          <w:numId w:val="4"/>
        </w:numPr>
        <w:autoSpaceDE w:val="0"/>
        <w:autoSpaceDN w:val="0"/>
        <w:spacing w:line="400" w:lineRule="exact"/>
        <w:ind w:left="0" w:firstLine="420" w:firstLineChars="200"/>
        <w:rPr>
          <w:rFonts w:hAnsi="宋体"/>
          <w:kern w:val="0"/>
          <w:szCs w:val="21"/>
        </w:rPr>
      </w:pPr>
      <w:r>
        <w:rPr>
          <w:rFonts w:hint="eastAsia" w:hAnsi="宋体"/>
          <w:kern w:val="0"/>
          <w:szCs w:val="21"/>
        </w:rPr>
        <w:t>维护保养验收方案；</w:t>
      </w:r>
    </w:p>
    <w:p>
      <w:pPr>
        <w:numPr>
          <w:ilvl w:val="0"/>
          <w:numId w:val="4"/>
        </w:numPr>
        <w:autoSpaceDE w:val="0"/>
        <w:autoSpaceDN w:val="0"/>
        <w:spacing w:line="400" w:lineRule="exact"/>
        <w:ind w:left="0" w:firstLine="420" w:firstLineChars="200"/>
      </w:pPr>
      <w:r>
        <w:rPr>
          <w:rFonts w:hint="eastAsia" w:hAnsi="宋体"/>
          <w:kern w:val="0"/>
          <w:szCs w:val="21"/>
        </w:rPr>
        <w:t>与本次采购有关的其他资料；</w:t>
      </w:r>
    </w:p>
    <w:p>
      <w:pPr>
        <w:pStyle w:val="5"/>
        <w:spacing w:line="400" w:lineRule="exact"/>
        <w:ind w:right="-154" w:firstLine="420"/>
        <w:jc w:val="both"/>
        <w:rPr>
          <w:bCs/>
          <w:sz w:val="21"/>
        </w:rPr>
      </w:pPr>
      <w:r>
        <w:rPr>
          <w:rFonts w:hint="eastAsia"/>
          <w:bCs/>
          <w:sz w:val="21"/>
        </w:rPr>
        <w:t>上述资料均需加盖招标响应单位公章，需要法定代表人或委托代理人签字盖章的地方须按要求签署。</w:t>
      </w:r>
    </w:p>
    <w:p>
      <w:pPr>
        <w:pStyle w:val="5"/>
        <w:spacing w:line="400" w:lineRule="exact"/>
        <w:ind w:right="-154" w:firstLine="420"/>
        <w:jc w:val="both"/>
        <w:rPr>
          <w:bCs/>
          <w:sz w:val="21"/>
        </w:rPr>
      </w:pPr>
      <w:r>
        <w:rPr>
          <w:rFonts w:hint="eastAsia"/>
          <w:bCs/>
          <w:sz w:val="21"/>
        </w:rPr>
        <w:t>（二）招标响应文件的制作、装订与密封要求：</w:t>
      </w:r>
    </w:p>
    <w:p>
      <w:pPr>
        <w:pStyle w:val="5"/>
        <w:spacing w:line="400" w:lineRule="exact"/>
        <w:ind w:right="-154" w:firstLine="420"/>
        <w:jc w:val="both"/>
        <w:rPr>
          <w:bCs/>
          <w:sz w:val="21"/>
        </w:rPr>
      </w:pPr>
      <w:r>
        <w:rPr>
          <w:rFonts w:hint="eastAsia"/>
          <w:bCs/>
          <w:sz w:val="21"/>
        </w:rPr>
        <w:t>1、招标响应文件应用不褪色的黑色墨水书写或打印；招标响应文件不应有涂改、增删和字迹潦草之处；</w:t>
      </w:r>
    </w:p>
    <w:p>
      <w:pPr>
        <w:pStyle w:val="5"/>
        <w:spacing w:line="400" w:lineRule="exact"/>
        <w:ind w:right="-154" w:firstLine="420"/>
        <w:jc w:val="both"/>
        <w:rPr>
          <w:bCs/>
          <w:sz w:val="21"/>
        </w:rPr>
      </w:pPr>
      <w:r>
        <w:rPr>
          <w:rFonts w:hint="eastAsia"/>
          <w:bCs/>
          <w:sz w:val="21"/>
        </w:rPr>
        <w:t>2、请招标响应单位按照上述招标响应文件组成制作招标响应文件并装订成册，招标响应文件封面自行制作，封面需注明：采购编号、采购单元号、采购内容、采购单位以及招标响应单位名称、正副本等信息，并加盖招标响应单位公章；</w:t>
      </w:r>
    </w:p>
    <w:p>
      <w:pPr>
        <w:autoSpaceDE w:val="0"/>
        <w:autoSpaceDN w:val="0"/>
        <w:adjustRightInd w:val="0"/>
        <w:spacing w:line="400" w:lineRule="exact"/>
        <w:ind w:firstLine="439"/>
      </w:pPr>
      <w:r>
        <w:rPr>
          <w:rFonts w:hint="eastAsia"/>
          <w:szCs w:val="21"/>
          <w:lang w:val="zh-CN"/>
        </w:rPr>
        <w:t>七、招标程序：</w:t>
      </w:r>
    </w:p>
    <w:p>
      <w:pPr>
        <w:spacing w:line="400" w:lineRule="exact"/>
        <w:ind w:right="-159" w:firstLine="420" w:firstLineChars="200"/>
      </w:pPr>
      <w:r>
        <w:rPr>
          <w:rFonts w:hint="eastAsia"/>
          <w:bCs/>
        </w:rPr>
        <w:t>1.报名需提供单位的被授权人须带身份证明原件至</w:t>
      </w:r>
      <w:r>
        <w:rPr>
          <w:rFonts w:hint="eastAsia"/>
          <w:bCs/>
          <w:u w:val="single"/>
        </w:rPr>
        <w:t>总务科</w:t>
      </w:r>
      <w:r>
        <w:rPr>
          <w:rFonts w:hint="eastAsia"/>
          <w:bCs/>
        </w:rPr>
        <w:t>核实身份报名登记</w:t>
      </w:r>
      <w:r>
        <w:rPr>
          <w:rFonts w:hint="eastAsia"/>
        </w:rPr>
        <w:t>。</w:t>
      </w:r>
    </w:p>
    <w:p>
      <w:pPr>
        <w:spacing w:line="400" w:lineRule="exact"/>
        <w:ind w:right="-159" w:firstLine="420" w:firstLineChars="200"/>
      </w:pPr>
      <w:r>
        <w:rPr>
          <w:rFonts w:hint="eastAsia"/>
        </w:rPr>
        <w:t>2.由招标小组（由院内的招标小组组成）按招标文件的资格条件进行资格性审查。</w:t>
      </w:r>
    </w:p>
    <w:p>
      <w:pPr>
        <w:spacing w:line="400" w:lineRule="exact"/>
        <w:ind w:right="-159" w:firstLine="420" w:firstLineChars="200"/>
      </w:pPr>
      <w:r>
        <w:rPr>
          <w:rFonts w:hint="eastAsia"/>
        </w:rPr>
        <w:t>3.招标小组</w:t>
      </w:r>
      <w:r>
        <w:t>各成员独立对每个</w:t>
      </w:r>
      <w:r>
        <w:rPr>
          <w:rFonts w:hint="eastAsia"/>
        </w:rPr>
        <w:t>供应商</w:t>
      </w:r>
      <w:r>
        <w:t>的</w:t>
      </w:r>
      <w:r>
        <w:rPr>
          <w:rFonts w:hint="eastAsia"/>
        </w:rPr>
        <w:t>招标响应文件（包括新的书面承诺）按招标文件规定的评审办法进行评审并给出评审意见。</w:t>
      </w:r>
    </w:p>
    <w:p>
      <w:pPr>
        <w:spacing w:line="400" w:lineRule="exact"/>
        <w:ind w:right="-159" w:firstLine="420" w:firstLineChars="200"/>
      </w:pPr>
      <w:r>
        <w:rPr>
          <w:rFonts w:hint="eastAsia"/>
        </w:rPr>
        <w:t>4.如投标人提供虚假材料，将按“政府采购法”相关规定处理并由政府监管部门给予严肃处理。</w:t>
      </w:r>
    </w:p>
    <w:p>
      <w:pPr>
        <w:spacing w:line="400" w:lineRule="exact"/>
        <w:ind w:right="-159" w:firstLine="420" w:firstLineChars="200"/>
      </w:pPr>
      <w:r>
        <w:rPr>
          <w:rFonts w:hint="eastAsia"/>
        </w:rPr>
        <w:t>八</w:t>
      </w:r>
      <w:r>
        <w:t>、</w:t>
      </w:r>
      <w:r>
        <w:rPr>
          <w:rFonts w:hint="eastAsia"/>
        </w:rPr>
        <w:t>招标</w:t>
      </w:r>
      <w:r>
        <w:t>成交原则及评审内容：</w:t>
      </w:r>
    </w:p>
    <w:p>
      <w:pPr>
        <w:spacing w:line="400" w:lineRule="exact"/>
        <w:ind w:right="-159" w:firstLine="420" w:firstLineChars="200"/>
      </w:pPr>
      <w:r>
        <w:t>（一）</w:t>
      </w:r>
      <w:r>
        <w:rPr>
          <w:rFonts w:hint="eastAsia"/>
        </w:rPr>
        <w:t>招标</w:t>
      </w:r>
      <w:r>
        <w:t>成交原则：</w:t>
      </w:r>
    </w:p>
    <w:p>
      <w:pPr>
        <w:spacing w:line="400" w:lineRule="exact"/>
        <w:ind w:right="-159" w:firstLine="420" w:firstLineChars="200"/>
      </w:pPr>
      <w:r>
        <w:t>1、本次</w:t>
      </w:r>
      <w:r>
        <w:rPr>
          <w:rFonts w:hint="eastAsia"/>
        </w:rPr>
        <w:t>招标</w:t>
      </w:r>
      <w:r>
        <w:t>采用最低评标价法，即</w:t>
      </w:r>
      <w:r>
        <w:rPr>
          <w:rFonts w:hint="eastAsia"/>
        </w:rPr>
        <w:t>投标文件满足招标文件全部实质性要求且投标报价最低的供应商为中标人。</w:t>
      </w:r>
    </w:p>
    <w:p>
      <w:pPr>
        <w:spacing w:line="400" w:lineRule="exact"/>
        <w:ind w:right="-159" w:firstLine="420" w:firstLineChars="200"/>
      </w:pPr>
      <w:r>
        <w:t>2、</w:t>
      </w:r>
      <w:r>
        <w:rPr>
          <w:rFonts w:hint="eastAsia"/>
        </w:rPr>
        <w:t>招标</w:t>
      </w:r>
      <w:r>
        <w:t>小组各成员独立对</w:t>
      </w:r>
      <w:r>
        <w:rPr>
          <w:rFonts w:hint="eastAsia"/>
        </w:rPr>
        <w:t>招标</w:t>
      </w:r>
      <w:r>
        <w:t>供应商的</w:t>
      </w:r>
      <w:r>
        <w:rPr>
          <w:rFonts w:hint="eastAsia"/>
        </w:rPr>
        <w:t>招标</w:t>
      </w:r>
      <w:r>
        <w:t>响应文件按照</w:t>
      </w:r>
      <w:r>
        <w:rPr>
          <w:rFonts w:hint="eastAsia"/>
        </w:rPr>
        <w:t>招标</w:t>
      </w:r>
      <w:r>
        <w:t>文件的规定和要求进行资格性和符合性评审，如评审内容条款均满足</w:t>
      </w:r>
      <w:r>
        <w:rPr>
          <w:rFonts w:hint="eastAsia"/>
        </w:rPr>
        <w:t>招标</w:t>
      </w:r>
      <w:r>
        <w:t>文件要求的，则认为该供应商</w:t>
      </w:r>
      <w:r>
        <w:rPr>
          <w:rFonts w:hint="eastAsia"/>
        </w:rPr>
        <w:t>招标</w:t>
      </w:r>
      <w:r>
        <w:t>文件评审合格。如某一条款内容评审不合格，评委须注明评审不合格原因。</w:t>
      </w:r>
    </w:p>
    <w:p/>
    <w:sectPr>
      <w:footerReference r:id="rId5" w:type="first"/>
      <w:headerReference r:id="rId3" w:type="default"/>
      <w:footerReference r:id="rId4"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共4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Po1EIm3AQAAVQMAAA4AAAAAAAAAAQAgAAAAKQEAAGRycy9lMm9Eb2MueG1sUEsF&#10;BgAAAAAGAAYAWQEAAFIFAAAAAA==&#10;">
          <v:path/>
          <v:fill on="f" focussize="0,0"/>
          <v:stroke on="f" weight="1.25pt" joinstyle="miter"/>
          <v:imagedata o:title=""/>
          <o:lock v:ext="edit"/>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4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66996"/>
    <w:multiLevelType w:val="singleLevel"/>
    <w:tmpl w:val="1D266996"/>
    <w:lvl w:ilvl="0" w:tentative="0">
      <w:start w:val="1"/>
      <w:numFmt w:val="decimal"/>
      <w:lvlText w:val="%1."/>
      <w:lvlJc w:val="left"/>
      <w:pPr>
        <w:ind w:left="425" w:hanging="425"/>
      </w:pPr>
      <w:rPr>
        <w:rFonts w:hint="default"/>
      </w:rPr>
    </w:lvl>
  </w:abstractNum>
  <w:abstractNum w:abstractNumId="1">
    <w:nsid w:val="48E169DC"/>
    <w:multiLevelType w:val="singleLevel"/>
    <w:tmpl w:val="48E169DC"/>
    <w:lvl w:ilvl="0" w:tentative="0">
      <w:start w:val="1"/>
      <w:numFmt w:val="decimal"/>
      <w:lvlText w:val="%1."/>
      <w:lvlJc w:val="left"/>
      <w:pPr>
        <w:ind w:left="425" w:hanging="425"/>
      </w:pPr>
      <w:rPr>
        <w:rFonts w:hint="default"/>
      </w:rPr>
    </w:lvl>
  </w:abstractNum>
  <w:abstractNum w:abstractNumId="2">
    <w:nsid w:val="701B2051"/>
    <w:multiLevelType w:val="singleLevel"/>
    <w:tmpl w:val="701B2051"/>
    <w:lvl w:ilvl="0" w:tentative="0">
      <w:start w:val="2"/>
      <w:numFmt w:val="chineseCounting"/>
      <w:suff w:val="nothing"/>
      <w:lvlText w:val="（%1）"/>
      <w:lvlJc w:val="left"/>
      <w:rPr>
        <w:rFonts w:hint="eastAsia"/>
      </w:rPr>
    </w:lvl>
  </w:abstractNum>
  <w:abstractNum w:abstractNumId="3">
    <w:nsid w:val="78D75EB5"/>
    <w:multiLevelType w:val="singleLevel"/>
    <w:tmpl w:val="78D75EB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966FFB"/>
    <w:rsid w:val="00385D3C"/>
    <w:rsid w:val="00672A92"/>
    <w:rsid w:val="008C2F1F"/>
    <w:rsid w:val="00BF6F18"/>
    <w:rsid w:val="00FB3510"/>
    <w:rsid w:val="052B4A3B"/>
    <w:rsid w:val="10AA6F89"/>
    <w:rsid w:val="111A1552"/>
    <w:rsid w:val="13F61035"/>
    <w:rsid w:val="175577FE"/>
    <w:rsid w:val="177F6999"/>
    <w:rsid w:val="17966FFB"/>
    <w:rsid w:val="19F467D8"/>
    <w:rsid w:val="1A1A21E5"/>
    <w:rsid w:val="1AD26368"/>
    <w:rsid w:val="22933C3D"/>
    <w:rsid w:val="24C57AE3"/>
    <w:rsid w:val="26BF0902"/>
    <w:rsid w:val="2B422902"/>
    <w:rsid w:val="31CC104F"/>
    <w:rsid w:val="334B30CB"/>
    <w:rsid w:val="3E1146B1"/>
    <w:rsid w:val="41B55B7C"/>
    <w:rsid w:val="47D14129"/>
    <w:rsid w:val="48543F61"/>
    <w:rsid w:val="540B08C7"/>
    <w:rsid w:val="549E6901"/>
    <w:rsid w:val="54F94A34"/>
    <w:rsid w:val="57E64342"/>
    <w:rsid w:val="5D6E070E"/>
    <w:rsid w:val="5F814050"/>
    <w:rsid w:val="681178F7"/>
    <w:rsid w:val="69F33705"/>
    <w:rsid w:val="6CB900AB"/>
    <w:rsid w:val="6CF85563"/>
    <w:rsid w:val="6D535020"/>
    <w:rsid w:val="70CD057D"/>
    <w:rsid w:val="71D800EE"/>
    <w:rsid w:val="7459320E"/>
    <w:rsid w:val="76006029"/>
    <w:rsid w:val="760F2213"/>
    <w:rsid w:val="7A147CD5"/>
    <w:rsid w:val="7B1D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440" w:lineRule="atLeast"/>
      <w:ind w:firstLine="480" w:firstLineChars="200"/>
      <w:jc w:val="left"/>
    </w:pPr>
    <w:rPr>
      <w:sz w:val="24"/>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460</Words>
  <Characters>2625</Characters>
  <Lines>21</Lines>
  <Paragraphs>6</Paragraphs>
  <TotalTime>147</TotalTime>
  <ScaleCrop>false</ScaleCrop>
  <LinksUpToDate>false</LinksUpToDate>
  <CharactersWithSpaces>3079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2018-11-25T00:34:00Z</dcterms:created>
  <dc:creator>旭阳医用徐楊</dc:creator>
  <cp:lastModifiedBy>CJ</cp:lastModifiedBy>
  <dcterms:modified xsi:type="dcterms:W3CDTF">2020-04-08T06:44:40Z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