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lang w:eastAsia="zh-CN"/>
        </w:rPr>
        <w:t>采购</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采购项目名称：气体灭火系统钢瓶充装及检测</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苏州</w:t>
      </w:r>
      <w:r>
        <w:rPr>
          <w:rFonts w:hint="eastAsia" w:ascii="宋体" w:hAnsi="宋体"/>
          <w:bCs/>
          <w:sz w:val="28"/>
          <w:szCs w:val="32"/>
        </w:rPr>
        <w:t>高新区人民医院</w:t>
      </w:r>
    </w:p>
    <w:p>
      <w:pPr>
        <w:adjustRightInd w:val="0"/>
        <w:snapToGrid w:val="0"/>
        <w:spacing w:line="800" w:lineRule="exact"/>
        <w:ind w:firstLine="1820" w:firstLineChars="650"/>
        <w:rPr>
          <w:rFonts w:ascii="宋体" w:hAnsi="宋体"/>
          <w:bCs/>
          <w:sz w:val="28"/>
          <w:szCs w:val="32"/>
        </w:rPr>
      </w:pPr>
      <w:r>
        <w:rPr>
          <w:rFonts w:hint="eastAsia" w:ascii="宋体" w:hAnsi="宋体" w:cs="宋体"/>
          <w:color w:val="333333"/>
          <w:sz w:val="28"/>
          <w:szCs w:val="28"/>
          <w:shd w:val="clear" w:color="auto" w:fill="FFFFFF"/>
        </w:rPr>
        <w:t>项目编号∶SGYBW2020-</w:t>
      </w:r>
      <w:r>
        <w:rPr>
          <w:rFonts w:hint="eastAsia" w:ascii="宋体" w:hAnsi="宋体" w:cs="宋体"/>
          <w:color w:val="333333"/>
          <w:sz w:val="28"/>
          <w:szCs w:val="28"/>
          <w:shd w:val="clear" w:color="auto" w:fill="FFFFFF"/>
          <w:lang w:val="en-US" w:eastAsia="zh-CN"/>
        </w:rPr>
        <w:t>2</w:t>
      </w:r>
      <w:r>
        <w:rPr>
          <w:rFonts w:hint="eastAsia" w:ascii="宋体" w:hAnsi="宋体" w:cs="宋体"/>
          <w:color w:val="333333"/>
          <w:sz w:val="28"/>
          <w:szCs w:val="28"/>
          <w:shd w:val="clear" w:color="auto" w:fill="FFFFFF"/>
        </w:rPr>
        <w:t>号</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苏州高新区人民医院</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二〇二〇年十月</w:t>
      </w:r>
    </w:p>
    <w:p/>
    <w:p>
      <w:pPr>
        <w:jc w:val="center"/>
        <w:rPr>
          <w:rFonts w:hint="eastAsia" w:ascii="宋体" w:hAnsi="宋体" w:cs="宋体"/>
          <w:b/>
          <w:sz w:val="30"/>
          <w:szCs w:val="30"/>
        </w:rPr>
        <w:sectPr>
          <w:pgSz w:w="11906" w:h="16838"/>
          <w:pgMar w:top="1440" w:right="1800" w:bottom="1440" w:left="1800" w:header="851" w:footer="992" w:gutter="0"/>
          <w:cols w:space="425" w:num="1"/>
          <w:docGrid w:type="lines" w:linePitch="312" w:charSpace="0"/>
        </w:sectPr>
      </w:pPr>
    </w:p>
    <w:p>
      <w:pPr>
        <w:jc w:val="center"/>
        <w:rPr>
          <w:rFonts w:hint="eastAsia" w:ascii="宋体" w:hAnsi="宋体" w:cs="宋体"/>
          <w:b/>
          <w:sz w:val="30"/>
          <w:szCs w:val="30"/>
        </w:rPr>
      </w:pPr>
      <w:r>
        <w:rPr>
          <w:rFonts w:hint="eastAsia" w:ascii="宋体" w:hAnsi="宋体" w:cs="宋体"/>
          <w:b/>
          <w:sz w:val="30"/>
          <w:szCs w:val="30"/>
        </w:rPr>
        <w:t>苏州高新区人民医院关于“气体灭火系统钢瓶充装及检测”的招标公告</w:t>
      </w:r>
    </w:p>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苏州高新区人民医院拟对“气体灭火系统钢瓶充装及检测”进行招标采购，欢迎符合招标采购文件资格条件的各供应商前来报名参加投标。</w:t>
      </w:r>
    </w:p>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一、</w:t>
      </w:r>
      <w:r>
        <w:rPr>
          <w:rFonts w:hint="eastAsia" w:asciiTheme="minorEastAsia" w:hAnsiTheme="minorEastAsia" w:eastAsiaTheme="minorEastAsia"/>
          <w:szCs w:val="21"/>
        </w:rPr>
        <w:t>项目编号∶SGYBW2020-</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号</w:t>
      </w:r>
    </w:p>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二、</w:t>
      </w:r>
      <w:r>
        <w:rPr>
          <w:rFonts w:hint="eastAsia" w:asciiTheme="minorEastAsia" w:hAnsiTheme="minorEastAsia" w:eastAsiaTheme="minorEastAsia"/>
          <w:szCs w:val="21"/>
        </w:rPr>
        <w:t>采购</w:t>
      </w:r>
      <w:r>
        <w:rPr>
          <w:rFonts w:hint="eastAsia" w:asciiTheme="minorEastAsia" w:hAnsiTheme="minorEastAsia" w:eastAsiaTheme="minorEastAsia"/>
          <w:szCs w:val="21"/>
          <w:lang w:eastAsia="zh-CN"/>
        </w:rPr>
        <w:t>项目名称</w:t>
      </w:r>
      <w:r>
        <w:rPr>
          <w:rFonts w:hint="eastAsia" w:asciiTheme="minorEastAsia" w:hAnsiTheme="minorEastAsia" w:eastAsiaTheme="minorEastAsia"/>
          <w:szCs w:val="21"/>
        </w:rPr>
        <w:t>∶气体灭火系统钢瓶充装及检测</w:t>
      </w:r>
    </w:p>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三、</w:t>
      </w:r>
      <w:r>
        <w:rPr>
          <w:rFonts w:hint="eastAsia" w:asciiTheme="minorEastAsia" w:hAnsiTheme="minorEastAsia" w:eastAsiaTheme="minorEastAsia"/>
          <w:szCs w:val="21"/>
        </w:rPr>
        <w:t>采购内容∶气体灭火系统钢瓶充装及检测</w:t>
      </w:r>
    </w:p>
    <w:tbl>
      <w:tblPr>
        <w:tblStyle w:val="10"/>
        <w:tblW w:w="8946" w:type="dxa"/>
        <w:tblInd w:w="93" w:type="dxa"/>
        <w:tblLayout w:type="fixed"/>
        <w:tblCellMar>
          <w:top w:w="0" w:type="dxa"/>
          <w:left w:w="108" w:type="dxa"/>
          <w:bottom w:w="0" w:type="dxa"/>
          <w:right w:w="108" w:type="dxa"/>
        </w:tblCellMar>
      </w:tblPr>
      <w:tblGrid>
        <w:gridCol w:w="846"/>
        <w:gridCol w:w="2520"/>
        <w:gridCol w:w="1530"/>
        <w:gridCol w:w="1230"/>
        <w:gridCol w:w="1230"/>
        <w:gridCol w:w="1590"/>
      </w:tblGrid>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设备材料名称</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规格型号</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单位</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数量</w:t>
            </w:r>
          </w:p>
        </w:tc>
        <w:tc>
          <w:tcPr>
            <w:tcW w:w="1590" w:type="dxa"/>
            <w:tcBorders>
              <w:top w:val="single" w:color="auto" w:sz="4" w:space="0"/>
              <w:left w:val="nil"/>
              <w:bottom w:val="single" w:color="auto" w:sz="4" w:space="0"/>
              <w:right w:val="single" w:color="auto" w:sz="4" w:space="0"/>
            </w:tcBorders>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七氟丙烷检测</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QMP90</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瓶</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31</w:t>
            </w:r>
          </w:p>
        </w:tc>
        <w:tc>
          <w:tcPr>
            <w:tcW w:w="1590" w:type="dxa"/>
            <w:tcBorders>
              <w:top w:val="single" w:color="auto" w:sz="4" w:space="0"/>
              <w:left w:val="nil"/>
              <w:bottom w:val="single" w:color="auto" w:sz="4" w:space="0"/>
              <w:right w:val="single" w:color="auto" w:sz="4" w:space="0"/>
            </w:tcBorders>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出具检测报告</w:t>
            </w:r>
          </w:p>
        </w:tc>
      </w:tr>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钢瓶拆除、安装</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瓶</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31</w:t>
            </w:r>
          </w:p>
        </w:tc>
        <w:tc>
          <w:tcPr>
            <w:tcW w:w="1590" w:type="dxa"/>
            <w:tcBorders>
              <w:top w:val="single" w:color="auto" w:sz="4" w:space="0"/>
              <w:left w:val="nil"/>
              <w:bottom w:val="single" w:color="auto" w:sz="4" w:space="0"/>
              <w:right w:val="single" w:color="auto" w:sz="4" w:space="0"/>
            </w:tcBorders>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专业拆装</w:t>
            </w:r>
          </w:p>
        </w:tc>
      </w:tr>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危险品车辆运输</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590" w:type="dxa"/>
            <w:tcBorders>
              <w:top w:val="single" w:color="auto" w:sz="4" w:space="0"/>
              <w:left w:val="nil"/>
              <w:bottom w:val="single" w:color="auto" w:sz="4" w:space="0"/>
              <w:right w:val="single" w:color="auto" w:sz="4" w:space="0"/>
            </w:tcBorders>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危险品运输</w:t>
            </w:r>
          </w:p>
        </w:tc>
      </w:tr>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七氟丙烷气体充装</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公斤</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1953</w:t>
            </w:r>
          </w:p>
        </w:tc>
        <w:tc>
          <w:tcPr>
            <w:tcW w:w="1590" w:type="dxa"/>
            <w:tcBorders>
              <w:top w:val="single" w:color="auto" w:sz="4" w:space="0"/>
              <w:left w:val="nil"/>
              <w:bottom w:val="single" w:color="auto" w:sz="4" w:space="0"/>
              <w:right w:val="single" w:color="auto" w:sz="4" w:space="0"/>
            </w:tcBorders>
          </w:tcPr>
          <w:p>
            <w:pPr>
              <w:spacing w:line="360" w:lineRule="exact"/>
              <w:ind w:firstLine="420" w:firstLineChars="200"/>
              <w:rPr>
                <w:rFonts w:hint="eastAsia" w:asciiTheme="minorEastAsia" w:hAnsiTheme="minorEastAsia" w:eastAsiaTheme="minorEastAsia"/>
                <w:szCs w:val="21"/>
              </w:rPr>
            </w:pPr>
          </w:p>
        </w:tc>
      </w:tr>
      <w:tr>
        <w:tblPrEx>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驱动瓶检测</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瓶</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590" w:type="dxa"/>
            <w:tcBorders>
              <w:top w:val="single" w:color="auto" w:sz="4" w:space="0"/>
              <w:left w:val="nil"/>
              <w:bottom w:val="single" w:color="auto" w:sz="4" w:space="0"/>
              <w:right w:val="single" w:color="auto" w:sz="4" w:space="0"/>
            </w:tcBorders>
          </w:tcPr>
          <w:p>
            <w:pPr>
              <w:spacing w:line="360" w:lineRule="exact"/>
              <w:ind w:firstLine="420" w:firstLineChars="200"/>
              <w:rPr>
                <w:rFonts w:hint="eastAsia" w:asciiTheme="minorEastAsia" w:hAnsiTheme="minorEastAsia" w:eastAsiaTheme="minorEastAsia"/>
                <w:szCs w:val="21"/>
              </w:rPr>
            </w:pPr>
          </w:p>
        </w:tc>
      </w:tr>
      <w:tr>
        <w:tblPrEx>
          <w:tblCellMar>
            <w:top w:w="0" w:type="dxa"/>
            <w:left w:w="108" w:type="dxa"/>
            <w:bottom w:w="0" w:type="dxa"/>
            <w:right w:w="108" w:type="dxa"/>
          </w:tblCellMar>
        </w:tblPrEx>
        <w:trPr>
          <w:trHeight w:val="375" w:hRule="atLeast"/>
        </w:trPr>
        <w:tc>
          <w:tcPr>
            <w:tcW w:w="89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ind w:firstLine="420" w:firstLineChars="200"/>
              <w:rPr>
                <w:rFonts w:hint="eastAsia"/>
              </w:rPr>
            </w:pPr>
            <w:r>
              <w:rPr>
                <w:rFonts w:hint="eastAsia"/>
              </w:rPr>
              <w:t>备注：1、钢瓶检测充装后需出具符合国家要求的检测报告；</w:t>
            </w:r>
          </w:p>
          <w:p>
            <w:pPr>
              <w:spacing w:line="360" w:lineRule="exact"/>
              <w:ind w:firstLine="420" w:firstLineChars="200"/>
              <w:rPr>
                <w:rFonts w:hint="eastAsia"/>
              </w:rPr>
            </w:pPr>
            <w:r>
              <w:rPr>
                <w:rFonts w:hint="eastAsia"/>
              </w:rPr>
              <w:t>2、拆除安装需由专业人员进行，并符合安全规定；</w:t>
            </w:r>
          </w:p>
          <w:p>
            <w:pPr>
              <w:spacing w:line="360" w:lineRule="exact"/>
              <w:ind w:firstLine="420" w:firstLineChars="200"/>
              <w:rPr>
                <w:rFonts w:hint="eastAsia"/>
              </w:rPr>
            </w:pPr>
            <w:r>
              <w:rPr>
                <w:rFonts w:hint="eastAsia"/>
              </w:rPr>
              <w:t>3、安装完成后，需进行专业的技术培训及模拟测试；</w:t>
            </w:r>
          </w:p>
          <w:p>
            <w:pPr>
              <w:pStyle w:val="9"/>
              <w:keepNext w:val="0"/>
              <w:keepLines w:val="0"/>
              <w:widowControl/>
              <w:suppressLineNumbers w:val="0"/>
              <w:spacing w:before="0" w:beforeAutospacing="0" w:after="0" w:afterAutospacing="0"/>
              <w:ind w:left="0" w:right="0" w:firstLine="420" w:firstLineChars="200"/>
              <w:rPr>
                <w:rFonts w:hint="eastAsia"/>
              </w:rPr>
            </w:pPr>
            <w:r>
              <w:rPr>
                <w:rFonts w:hint="eastAsia" w:ascii="Times New Roman" w:hAnsi="Times New Roman" w:eastAsia="宋体" w:cs="Times New Roman"/>
                <w:kern w:val="2"/>
                <w:sz w:val="21"/>
                <w:szCs w:val="20"/>
                <w:lang w:val="en-US" w:eastAsia="zh-CN" w:bidi="ar-SA"/>
              </w:rPr>
              <w:t>4.若气瓶在检测过程中发现零部件损坏或不合格需要更换时，按实际数量更换并结算。但是投标人需要在标书中提供以上表格中各种气瓶和对应阀门的单价。</w:t>
            </w:r>
          </w:p>
        </w:tc>
      </w:tr>
    </w:tbl>
    <w:p>
      <w:pPr>
        <w:spacing w:line="360" w:lineRule="exact"/>
        <w:ind w:firstLine="420" w:firstLineChars="200"/>
        <w:rPr>
          <w:rFonts w:hint="eastAsia" w:asciiTheme="minorEastAsia" w:hAnsiTheme="minorEastAsia" w:eastAsiaTheme="minorEastAsia"/>
          <w:szCs w:val="21"/>
        </w:rPr>
      </w:pPr>
    </w:p>
    <w:p/>
    <w:p/>
    <w:p/>
    <w:p>
      <w:pPr>
        <w:pStyle w:val="2"/>
      </w:pPr>
    </w:p>
    <w:p>
      <w:pPr>
        <w:pStyle w:val="2"/>
      </w:pPr>
    </w:p>
    <w:p>
      <w:pPr>
        <w:pStyle w:val="2"/>
      </w:pPr>
    </w:p>
    <w:p>
      <w:pPr>
        <w:pStyle w:val="2"/>
      </w:pPr>
    </w:p>
    <w:p>
      <w:pPr>
        <w:pStyle w:val="2"/>
      </w:pPr>
    </w:p>
    <w:p>
      <w:pPr>
        <w:pStyle w:val="2"/>
      </w:pPr>
    </w:p>
    <w:p>
      <w:pPr>
        <w:pStyle w:val="2"/>
      </w:pPr>
    </w:p>
    <w:p>
      <w:pPr>
        <w:jc w:val="center"/>
        <w:rPr>
          <w:rFonts w:ascii="宋体" w:hAnsi="宋体" w:cs="宋体"/>
          <w:b/>
          <w:sz w:val="30"/>
          <w:szCs w:val="30"/>
        </w:rPr>
      </w:pPr>
      <w:r>
        <w:rPr>
          <w:rFonts w:hint="eastAsia" w:ascii="宋体" w:hAnsi="宋体" w:cs="宋体"/>
          <w:b/>
          <w:sz w:val="30"/>
          <w:szCs w:val="30"/>
        </w:rPr>
        <w:t>第二章  响应文件的组成</w:t>
      </w:r>
    </w:p>
    <w:p>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w:t>
      </w:r>
    </w:p>
    <w:p>
      <w:pPr>
        <w:spacing w:line="360" w:lineRule="exact"/>
        <w:ind w:firstLine="422" w:firstLineChars="201"/>
        <w:rPr>
          <w:rFonts w:hint="eastAsia" w:ascii="宋体" w:hAnsi="宋体"/>
          <w:szCs w:val="21"/>
          <w:lang w:val="zh-CN"/>
        </w:rPr>
      </w:pPr>
      <w:r>
        <w:rPr>
          <w:rFonts w:hint="eastAsia" w:ascii="宋体" w:hAnsi="宋体"/>
          <w:szCs w:val="21"/>
        </w:rPr>
        <w:t>1.</w:t>
      </w:r>
      <w:r>
        <w:rPr>
          <w:rFonts w:hint="eastAsia" w:ascii="宋体" w:hAnsi="宋体"/>
          <w:szCs w:val="21"/>
          <w:lang w:val="zh-CN"/>
        </w:rPr>
        <w:t>谈判承诺函</w:t>
      </w:r>
    </w:p>
    <w:p>
      <w:pPr>
        <w:spacing w:line="360" w:lineRule="exact"/>
        <w:ind w:firstLine="422" w:firstLineChars="201"/>
        <w:rPr>
          <w:rFonts w:ascii="宋体" w:hAnsi="宋体"/>
          <w:szCs w:val="21"/>
        </w:rPr>
      </w:pP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w:t>
      </w:r>
      <w:r>
        <w:rPr>
          <w:rFonts w:hint="eastAsia" w:ascii="宋体" w:hAnsi="宋体"/>
          <w:szCs w:val="21"/>
        </w:rPr>
        <w:t>（双面）</w:t>
      </w:r>
    </w:p>
    <w:p>
      <w:pPr>
        <w:spacing w:line="360" w:lineRule="exact"/>
        <w:ind w:firstLine="422" w:firstLineChars="201"/>
        <w:rPr>
          <w:rFonts w:hint="eastAsia" w:ascii="宋体" w:hAnsi="宋体" w:cs="宋体"/>
          <w:szCs w:val="21"/>
        </w:rPr>
      </w:pPr>
      <w:r>
        <w:rPr>
          <w:rFonts w:ascii="宋体" w:hAnsi="宋体" w:cs="宋体"/>
          <w:szCs w:val="21"/>
        </w:rPr>
        <w:t>4</w:t>
      </w:r>
      <w:r>
        <w:rPr>
          <w:rFonts w:hint="eastAsia" w:ascii="宋体" w:hAnsi="宋体" w:cs="宋体"/>
          <w:szCs w:val="21"/>
        </w:rPr>
        <w:t>.授权委托书、代理人身份证复印件</w:t>
      </w:r>
      <w:r>
        <w:rPr>
          <w:rFonts w:hint="eastAsia" w:ascii="宋体" w:hAnsi="宋体"/>
          <w:szCs w:val="21"/>
        </w:rPr>
        <w:t>（双面）</w:t>
      </w:r>
      <w:r>
        <w:rPr>
          <w:rFonts w:hint="eastAsia" w:ascii="宋体" w:hAnsi="宋体" w:cs="宋体"/>
          <w:szCs w:val="21"/>
        </w:rPr>
        <w:t>、供应商近三个月（自开标之日往前推）为其缴纳社保的记录（如果有授权委托情况的，必须提供）</w:t>
      </w:r>
    </w:p>
    <w:p>
      <w:pPr>
        <w:spacing w:line="360" w:lineRule="exact"/>
        <w:ind w:firstLine="420" w:firstLineChars="200"/>
      </w:pPr>
      <w:r>
        <w:rPr>
          <w:rFonts w:hint="eastAsia" w:ascii="宋体" w:hAnsi="宋体" w:cs="宋体"/>
          <w:szCs w:val="21"/>
          <w:lang w:val="en-US" w:eastAsia="zh-CN"/>
        </w:rPr>
        <w:t>5</w:t>
      </w:r>
      <w:r>
        <w:rPr>
          <w:rFonts w:hint="eastAsia" w:ascii="宋体" w:hAnsi="宋体" w:cs="宋体"/>
          <w:szCs w:val="21"/>
        </w:rPr>
        <w:t>.</w:t>
      </w:r>
      <w:r>
        <w:rPr>
          <w:rFonts w:hint="eastAsia" w:ascii="宋体" w:hAnsi="宋体"/>
          <w:szCs w:val="21"/>
        </w:rPr>
        <w:t>关于资格的声明函</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spacing w:line="360" w:lineRule="exact"/>
        <w:ind w:firstLine="422" w:firstLineChars="201"/>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1"/>
        <w:rPr>
          <w:rFonts w:ascii="宋体" w:hAnsi="宋体" w:cs="宋体"/>
          <w:szCs w:val="21"/>
        </w:rPr>
      </w:pPr>
      <w:r>
        <w:rPr>
          <w:rFonts w:hint="eastAsia" w:ascii="宋体" w:hAnsi="宋体" w:cs="宋体"/>
          <w:szCs w:val="21"/>
        </w:rPr>
        <w:t>2</w:t>
      </w:r>
      <w:r>
        <w:rPr>
          <w:rFonts w:hint="eastAsia" w:ascii="宋体" w:hAnsi="宋体" w:cs="宋体"/>
          <w:color w:val="000000"/>
          <w:szCs w:val="21"/>
        </w:rPr>
        <w:t>分项报价表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spacing w:line="360" w:lineRule="exact"/>
        <w:ind w:firstLine="422" w:firstLineChars="201"/>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pPr>
        <w:spacing w:line="360" w:lineRule="exact"/>
        <w:ind w:firstLine="422" w:firstLineChars="201"/>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.提供所供产品技术资料</w:t>
      </w:r>
    </w:p>
    <w:p>
      <w:pPr>
        <w:spacing w:line="360" w:lineRule="exact"/>
        <w:ind w:firstLine="422" w:firstLineChars="201"/>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.质保及售后服务承诺</w:t>
      </w:r>
    </w:p>
    <w:p>
      <w:pPr>
        <w:spacing w:line="360" w:lineRule="exact"/>
        <w:ind w:firstLine="422" w:firstLineChars="201"/>
        <w:rPr>
          <w:rFonts w:ascii="宋体" w:hAnsi="宋体" w:cs="宋体"/>
          <w:szCs w:val="21"/>
        </w:rPr>
      </w:pPr>
      <w:r>
        <w:rPr>
          <w:rFonts w:hint="eastAsia" w:ascii="宋体" w:hAnsi="宋体" w:cs="宋体"/>
          <w:color w:val="000000"/>
          <w:szCs w:val="21"/>
          <w:lang w:val="en-US" w:eastAsia="zh-CN"/>
        </w:rPr>
        <w:t>4</w:t>
      </w:r>
      <w:r>
        <w:rPr>
          <w:rFonts w:hint="eastAsia" w:ascii="宋体" w:hAnsi="宋体" w:cs="宋体"/>
          <w:color w:val="000000"/>
          <w:szCs w:val="21"/>
        </w:rPr>
        <w:t>.其他评审相关资料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b/>
          <w:bCs/>
          <w:szCs w:val="21"/>
        </w:rPr>
      </w:pPr>
      <w:r>
        <w:rPr>
          <w:rFonts w:hint="eastAsia" w:ascii="宋体" w:hAnsi="宋体" w:cs="宋体"/>
          <w:szCs w:val="21"/>
        </w:rPr>
        <w:t>1.</w:t>
      </w:r>
      <w:r>
        <w:rPr>
          <w:rFonts w:hint="eastAsia" w:ascii="宋体" w:hAnsi="宋体"/>
          <w:b/>
          <w:bCs/>
          <w:szCs w:val="21"/>
        </w:rPr>
        <w:t>所有项目若有缺失或无效将可能导致磋商无效且不允许在响应文件</w:t>
      </w:r>
      <w:r>
        <w:rPr>
          <w:rFonts w:ascii="宋体" w:hAnsi="宋体"/>
          <w:b/>
          <w:bCs/>
          <w:szCs w:val="21"/>
        </w:rPr>
        <w:t>提交</w:t>
      </w:r>
      <w:r>
        <w:rPr>
          <w:rFonts w:hint="eastAsia" w:ascii="宋体" w:hAnsi="宋体"/>
          <w:b/>
          <w:bCs/>
          <w:szCs w:val="21"/>
        </w:rPr>
        <w:t>截止后补正。</w:t>
      </w:r>
    </w:p>
    <w:p>
      <w:pPr>
        <w:spacing w:line="360" w:lineRule="exact"/>
        <w:ind w:firstLine="422" w:firstLineChars="201"/>
        <w:rPr>
          <w:rFonts w:ascii="宋体" w:hAnsi="宋体" w:cs="宋体"/>
          <w:szCs w:val="21"/>
        </w:rPr>
      </w:pPr>
      <w:r>
        <w:rPr>
          <w:rFonts w:hint="eastAsia" w:ascii="宋体" w:hAnsi="宋体" w:cs="宋体"/>
          <w:szCs w:val="21"/>
        </w:rPr>
        <w:t>2.对本章所有的格式 ，供应商可根据自身情况进行补充和修改，但补充和修改不得造成与本格式内容有实质性的违背。供应商可提供其它相关的证明材料（不限于此）。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szCs w:val="21"/>
        </w:rPr>
      </w:pPr>
      <w:r>
        <w:rPr>
          <w:rFonts w:ascii="宋体" w:hAnsi="宋体" w:cs="宋体"/>
          <w:szCs w:val="21"/>
        </w:rPr>
        <w:t>3</w:t>
      </w:r>
      <w:r>
        <w:rPr>
          <w:rFonts w:hint="eastAsia" w:ascii="宋体" w:hAnsi="宋体" w:cs="宋体"/>
          <w:szCs w:val="21"/>
        </w:rPr>
        <w:t>.供应商需按响应文件的组成要求进行编制，同时提供评分索引表。</w:t>
      </w:r>
    </w:p>
    <w:p>
      <w:pPr>
        <w:autoSpaceDE w:val="0"/>
        <w:autoSpaceDN w:val="0"/>
        <w:adjustRightInd w:val="0"/>
        <w:spacing w:line="400" w:lineRule="exact"/>
        <w:ind w:firstLine="439"/>
        <w:rPr>
          <w:sz w:val="21"/>
          <w:szCs w:val="21"/>
        </w:rPr>
      </w:pPr>
      <w:r>
        <w:rPr>
          <w:rFonts w:hint="eastAsia"/>
          <w:sz w:val="21"/>
          <w:szCs w:val="21"/>
          <w:lang w:val="zh-CN"/>
        </w:rPr>
        <w:t>五、招标程序：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lang w:eastAsia="zh-CN"/>
        </w:rPr>
        <w:t>保卫科</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lang w:eastAsia="zh-CN"/>
        </w:rPr>
        <w:t>六</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rPr>
          <w:sz w:val="21"/>
          <w:szCs w:val="21"/>
        </w:rPr>
      </w:pPr>
      <w:r>
        <w:rPr>
          <w:sz w:val="21"/>
          <w:szCs w:val="21"/>
        </w:rPr>
        <w:t>1、</w:t>
      </w:r>
      <w:r>
        <w:rPr>
          <w:rFonts w:hint="eastAsia"/>
          <w:sz w:val="21"/>
          <w:szCs w:val="21"/>
        </w:rPr>
        <w:t>本项目采用综合评分法进行评审，</w:t>
      </w:r>
      <w:r>
        <w:rPr>
          <w:rFonts w:hint="eastAsia"/>
          <w:sz w:val="21"/>
          <w:szCs w:val="21"/>
          <w:lang w:eastAsia="zh-CN"/>
        </w:rPr>
        <w:t>详情见评分细则</w:t>
      </w:r>
      <w:r>
        <w:rPr>
          <w:rFonts w:hint="eastAsia"/>
          <w:sz w:val="21"/>
          <w:szCs w:val="21"/>
        </w:rPr>
        <w:t>。</w:t>
      </w:r>
      <w:r>
        <w:rPr>
          <w:sz w:val="21"/>
          <w:szCs w:val="21"/>
        </w:rPr>
        <w:t>即</w:t>
      </w:r>
      <w:r>
        <w:rPr>
          <w:rFonts w:hint="eastAsia"/>
          <w:sz w:val="21"/>
          <w:szCs w:val="21"/>
        </w:rPr>
        <w:t>投标文件满足招标文件全部实质性要求且投标</w:t>
      </w:r>
      <w:r>
        <w:rPr>
          <w:rFonts w:hint="eastAsia"/>
          <w:sz w:val="21"/>
          <w:szCs w:val="21"/>
          <w:lang w:eastAsia="zh-CN"/>
        </w:rPr>
        <w:t>评分最高</w:t>
      </w:r>
      <w:r>
        <w:rPr>
          <w:rFonts w:hint="eastAsia"/>
          <w:sz w:val="21"/>
          <w:szCs w:val="21"/>
        </w:rPr>
        <w:t>的供应商为中标人。</w:t>
      </w:r>
    </w:p>
    <w:p>
      <w:pPr>
        <w:spacing w:line="400" w:lineRule="exact"/>
        <w:ind w:right="-159" w:firstLine="420" w:firstLineChars="200"/>
        <w:rPr>
          <w:sz w:val="21"/>
          <w:szCs w:val="21"/>
        </w:rPr>
      </w:pPr>
      <w:r>
        <w:rPr>
          <w:sz w:val="21"/>
          <w:szCs w:val="21"/>
        </w:rPr>
        <w:t>2、</w:t>
      </w:r>
      <w:r>
        <w:rPr>
          <w:rFonts w:hint="eastAsia"/>
          <w:sz w:val="21"/>
          <w:szCs w:val="21"/>
        </w:rPr>
        <w:t>招标</w:t>
      </w:r>
      <w:r>
        <w:rPr>
          <w:sz w:val="21"/>
          <w:szCs w:val="21"/>
        </w:rPr>
        <w:t>小组各成员独立对</w:t>
      </w:r>
      <w:r>
        <w:rPr>
          <w:rFonts w:hint="eastAsia"/>
          <w:sz w:val="21"/>
          <w:szCs w:val="21"/>
        </w:rPr>
        <w:t>招标</w:t>
      </w:r>
      <w:r>
        <w:rPr>
          <w:sz w:val="21"/>
          <w:szCs w:val="21"/>
        </w:rPr>
        <w:t>供应商的</w:t>
      </w:r>
      <w:r>
        <w:rPr>
          <w:rFonts w:hint="eastAsia"/>
          <w:sz w:val="21"/>
          <w:szCs w:val="21"/>
        </w:rPr>
        <w:t>招标</w:t>
      </w:r>
      <w:r>
        <w:rPr>
          <w:sz w:val="21"/>
          <w:szCs w:val="21"/>
        </w:rPr>
        <w:t>响应文件按照</w:t>
      </w:r>
      <w:r>
        <w:rPr>
          <w:rFonts w:hint="eastAsia"/>
          <w:sz w:val="21"/>
          <w:szCs w:val="21"/>
        </w:rPr>
        <w:t>招标</w:t>
      </w:r>
      <w:r>
        <w:rPr>
          <w:sz w:val="21"/>
          <w:szCs w:val="21"/>
        </w:rPr>
        <w:t>文件的规定和要求进行资格性和符合性评审，如评审内容条款均满足</w:t>
      </w:r>
      <w:r>
        <w:rPr>
          <w:rFonts w:hint="eastAsia"/>
          <w:sz w:val="21"/>
          <w:szCs w:val="21"/>
        </w:rPr>
        <w:t>招标</w:t>
      </w:r>
      <w:r>
        <w:rPr>
          <w:sz w:val="21"/>
          <w:szCs w:val="21"/>
        </w:rPr>
        <w:t>文件要求的，则认为该供应商</w:t>
      </w:r>
      <w:r>
        <w:rPr>
          <w:rFonts w:hint="eastAsia"/>
          <w:sz w:val="21"/>
          <w:szCs w:val="21"/>
        </w:rPr>
        <w:t>招标</w:t>
      </w:r>
      <w:r>
        <w:rPr>
          <w:sz w:val="21"/>
          <w:szCs w:val="21"/>
        </w:rPr>
        <w:t>文件评审合格。如某一条款内容评审不合格，评委须注明评审不合格原因。</w:t>
      </w:r>
    </w:p>
    <w:p>
      <w:pPr>
        <w:spacing w:line="360" w:lineRule="auto"/>
        <w:ind w:firstLine="420" w:firstLineChars="200"/>
        <w:rPr>
          <w:rFonts w:hint="eastAsia"/>
          <w:sz w:val="21"/>
          <w:szCs w:val="21"/>
        </w:rPr>
      </w:pPr>
      <w:r>
        <w:rPr>
          <w:rFonts w:hint="eastAsia"/>
          <w:sz w:val="21"/>
          <w:szCs w:val="21"/>
          <w:lang w:val="en-US" w:eastAsia="zh-CN"/>
        </w:rPr>
        <w:t>3、</w:t>
      </w:r>
      <w:r>
        <w:rPr>
          <w:rFonts w:hint="eastAsia"/>
          <w:sz w:val="21"/>
          <w:szCs w:val="21"/>
          <w:lang w:eastAsia="zh-CN"/>
        </w:rPr>
        <w:t>采购</w:t>
      </w:r>
      <w:r>
        <w:rPr>
          <w:rFonts w:hint="eastAsia"/>
          <w:sz w:val="21"/>
          <w:szCs w:val="21"/>
        </w:rPr>
        <w:t>项目要求</w:t>
      </w:r>
    </w:p>
    <w:p>
      <w:pPr>
        <w:spacing w:line="360" w:lineRule="auto"/>
        <w:rPr>
          <w:rFonts w:hint="eastAsia"/>
          <w:sz w:val="21"/>
          <w:szCs w:val="21"/>
        </w:rPr>
      </w:pPr>
      <w:r>
        <w:rPr>
          <w:rFonts w:hint="eastAsia"/>
          <w:sz w:val="21"/>
          <w:szCs w:val="21"/>
        </w:rPr>
        <w:t xml:space="preserve">   （1）遵守国家有关法律、法规、恪守职业道德，遵守职业规范，依法、客观、公正做好工作。</w:t>
      </w:r>
    </w:p>
    <w:p>
      <w:pPr>
        <w:spacing w:line="360" w:lineRule="auto"/>
        <w:rPr>
          <w:rFonts w:hint="eastAsia"/>
          <w:sz w:val="21"/>
          <w:szCs w:val="21"/>
        </w:rPr>
      </w:pPr>
      <w:r>
        <w:rPr>
          <w:rFonts w:hint="eastAsia"/>
          <w:sz w:val="21"/>
          <w:szCs w:val="21"/>
        </w:rPr>
        <w:t xml:space="preserve">   （2）</w:t>
      </w:r>
      <w:r>
        <w:rPr>
          <w:sz w:val="21"/>
          <w:szCs w:val="21"/>
        </w:rPr>
        <w:t>严格质量管理，确保</w:t>
      </w:r>
      <w:r>
        <w:rPr>
          <w:rFonts w:hint="eastAsia"/>
          <w:sz w:val="21"/>
          <w:szCs w:val="21"/>
        </w:rPr>
        <w:t>施工过程中的安全问题</w:t>
      </w:r>
      <w:r>
        <w:rPr>
          <w:sz w:val="21"/>
          <w:szCs w:val="21"/>
        </w:rPr>
        <w:t>。</w:t>
      </w:r>
    </w:p>
    <w:p>
      <w:pPr>
        <w:spacing w:line="360" w:lineRule="auto"/>
        <w:ind w:firstLine="315" w:firstLineChars="150"/>
        <w:rPr>
          <w:rFonts w:hint="eastAsia" w:eastAsia="宋体"/>
          <w:sz w:val="21"/>
          <w:szCs w:val="21"/>
          <w:lang w:eastAsia="zh-CN"/>
        </w:rPr>
      </w:pPr>
      <w:r>
        <w:rPr>
          <w:rFonts w:hint="eastAsia"/>
          <w:sz w:val="21"/>
          <w:szCs w:val="21"/>
        </w:rPr>
        <w:t>（3）</w:t>
      </w:r>
      <w:r>
        <w:rPr>
          <w:rFonts w:hint="eastAsia"/>
          <w:sz w:val="21"/>
          <w:szCs w:val="21"/>
          <w:lang w:eastAsia="zh-CN"/>
        </w:rPr>
        <w:t>供应商</w:t>
      </w:r>
      <w:r>
        <w:rPr>
          <w:sz w:val="21"/>
          <w:szCs w:val="21"/>
        </w:rPr>
        <w:t>应按时完成</w:t>
      </w:r>
      <w:r>
        <w:rPr>
          <w:rFonts w:hint="eastAsia"/>
          <w:sz w:val="21"/>
          <w:szCs w:val="21"/>
        </w:rPr>
        <w:t>委托的</w:t>
      </w:r>
      <w:r>
        <w:rPr>
          <w:sz w:val="21"/>
          <w:szCs w:val="21"/>
        </w:rPr>
        <w:t>工作</w:t>
      </w:r>
      <w:r>
        <w:rPr>
          <w:rFonts w:hint="eastAsia"/>
          <w:sz w:val="21"/>
          <w:szCs w:val="21"/>
          <w:lang w:eastAsia="zh-CN"/>
        </w:rPr>
        <w:t>。</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宋体" w:hAnsi="宋体" w:cs="宋体"/>
          <w:szCs w:val="21"/>
        </w:rPr>
      </w:pPr>
      <w:r>
        <w:rPr>
          <w:rFonts w:hint="eastAsia" w:ascii="宋体" w:hAnsi="宋体" w:cs="宋体"/>
          <w:b/>
          <w:sz w:val="30"/>
          <w:szCs w:val="30"/>
        </w:rPr>
        <w:t>第三章  采购项目及技术要求</w:t>
      </w:r>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项目内容</w:t>
      </w:r>
    </w:p>
    <w:p>
      <w:pPr>
        <w:snapToGrid w:val="0"/>
        <w:spacing w:line="360" w:lineRule="exact"/>
        <w:ind w:firstLine="420" w:firstLineChars="200"/>
        <w:rPr>
          <w:rFonts w:asciiTheme="minorEastAsia" w:hAnsiTheme="minorEastAsia" w:eastAsiaTheme="minorEastAsia"/>
          <w:spacing w:val="2"/>
          <w:szCs w:val="21"/>
        </w:rPr>
      </w:pPr>
      <w:r>
        <w:rPr>
          <w:rFonts w:hint="eastAsia" w:asciiTheme="minorEastAsia" w:hAnsiTheme="minorEastAsia" w:eastAsiaTheme="minorEastAsia"/>
          <w:szCs w:val="21"/>
        </w:rPr>
        <w:t>本项目是七氟丙烷气体灭火装置更换充装及维护项目。</w:t>
      </w:r>
    </w:p>
    <w:p>
      <w:pPr>
        <w:snapToGrid w:val="0"/>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项目地点：</w:t>
      </w:r>
      <w:r>
        <w:rPr>
          <w:rFonts w:hint="eastAsia" w:cs="宋体" w:asciiTheme="minorEastAsia" w:hAnsiTheme="minorEastAsia" w:eastAsiaTheme="minorEastAsia"/>
          <w:bCs/>
          <w:szCs w:val="21"/>
        </w:rPr>
        <w:t>苏州市高新区人民医院</w:t>
      </w:r>
      <w:r>
        <w:rPr>
          <w:rFonts w:hint="eastAsia" w:asciiTheme="minorEastAsia" w:hAnsiTheme="minorEastAsia" w:eastAsiaTheme="minorEastAsia"/>
          <w:bCs/>
          <w:szCs w:val="21"/>
        </w:rPr>
        <w:t>。</w:t>
      </w:r>
    </w:p>
    <w:p>
      <w:pPr>
        <w:spacing w:line="360" w:lineRule="exact"/>
        <w:ind w:firstLine="422" w:firstLineChars="200"/>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二、基本要求</w:t>
      </w:r>
    </w:p>
    <w:p>
      <w:pPr>
        <w:spacing w:line="360" w:lineRule="exact"/>
        <w:ind w:firstLine="420"/>
        <w:rPr>
          <w:rFonts w:ascii="宋体" w:hAnsi="宋体"/>
        </w:rPr>
      </w:pPr>
      <w:r>
        <w:rPr>
          <w:rFonts w:hint="eastAsia" w:cs="宋体" w:asciiTheme="minorEastAsia" w:hAnsiTheme="minorEastAsia" w:eastAsiaTheme="minorEastAsia"/>
          <w:color w:val="000000" w:themeColor="text1"/>
          <w:szCs w:val="21"/>
        </w:rPr>
        <w:t>1.投标供应商提供的产品必须完全符合</w:t>
      </w:r>
      <w:r>
        <w:rPr>
          <w:rFonts w:hint="eastAsia" w:cs="宋体" w:asciiTheme="minorEastAsia" w:hAnsiTheme="minorEastAsia" w:eastAsiaTheme="minorEastAsia"/>
          <w:color w:val="000000" w:themeColor="text1"/>
          <w:szCs w:val="21"/>
          <w:lang w:eastAsia="zh-CN"/>
        </w:rPr>
        <w:t>采购</w:t>
      </w:r>
      <w:r>
        <w:rPr>
          <w:rFonts w:hint="eastAsia" w:cs="宋体" w:asciiTheme="minorEastAsia" w:hAnsiTheme="minorEastAsia" w:eastAsiaTheme="minorEastAsia"/>
          <w:color w:val="000000" w:themeColor="text1"/>
          <w:szCs w:val="21"/>
        </w:rPr>
        <w:t>文件规定的质量、规格和性能的要求，</w:t>
      </w:r>
      <w:r>
        <w:rPr>
          <w:rFonts w:ascii="宋体" w:hAnsi="宋体"/>
        </w:rPr>
        <w:t>应保证</w:t>
      </w:r>
      <w:r>
        <w:rPr>
          <w:rFonts w:hint="eastAsia" w:cs="宋体" w:asciiTheme="minorEastAsia" w:hAnsiTheme="minorEastAsia" w:eastAsiaTheme="minorEastAsia"/>
          <w:color w:val="000000" w:themeColor="text1"/>
          <w:szCs w:val="21"/>
        </w:rPr>
        <w:t>产品</w:t>
      </w:r>
      <w:r>
        <w:rPr>
          <w:rFonts w:ascii="宋体" w:hAnsi="宋体"/>
        </w:rPr>
        <w:t>在正确安装、正常使用和保养条件下，在规定的使用寿命期内具有满意的性能</w:t>
      </w:r>
      <w:r>
        <w:rPr>
          <w:rFonts w:hint="eastAsia" w:ascii="宋体" w:hAnsi="宋体"/>
        </w:rPr>
        <w:t>；</w:t>
      </w:r>
    </w:p>
    <w:p>
      <w:pPr>
        <w:spacing w:line="360" w:lineRule="exact"/>
        <w:ind w:firstLine="42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2.投标供应商提供的产品</w:t>
      </w:r>
      <w:r>
        <w:rPr>
          <w:rFonts w:ascii="宋体" w:hAnsi="宋体"/>
        </w:rPr>
        <w:t>各项技术标准</w:t>
      </w:r>
      <w:r>
        <w:rPr>
          <w:rFonts w:hint="eastAsia" w:ascii="宋体" w:hAnsi="宋体"/>
        </w:rPr>
        <w:t>应</w:t>
      </w:r>
      <w:r>
        <w:rPr>
          <w:rFonts w:hint="eastAsia" w:cs="宋体" w:asciiTheme="minorEastAsia" w:hAnsiTheme="minorEastAsia" w:eastAsiaTheme="minorEastAsia"/>
          <w:color w:val="000000" w:themeColor="text1"/>
          <w:szCs w:val="21"/>
        </w:rPr>
        <w:t>达到国家或行业规定的标准、规范，实行生产许可证制度的，应提供生产许可证；属于国家强制认证的产品，必须通过认证。</w:t>
      </w:r>
    </w:p>
    <w:p>
      <w:pPr>
        <w:spacing w:line="360" w:lineRule="exact"/>
        <w:ind w:right="210"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3.投标供应商提供的产品及安装必须能通过采购人的质量验收、竣工验收等各类验收。</w:t>
      </w:r>
    </w:p>
    <w:p>
      <w:pPr>
        <w:spacing w:line="360" w:lineRule="exact"/>
        <w:ind w:firstLine="422" w:firstLineChars="200"/>
        <w:rPr>
          <w:rFonts w:cs="宋体" w:asciiTheme="minorEastAsia" w:hAnsiTheme="minorEastAsia" w:eastAsiaTheme="minorEastAsia"/>
          <w:b/>
          <w:color w:val="000000" w:themeColor="text1"/>
          <w:szCs w:val="21"/>
        </w:rPr>
      </w:pPr>
      <w:r>
        <w:rPr>
          <w:rFonts w:hint="eastAsia" w:cs="宋体" w:asciiTheme="minorEastAsia" w:hAnsiTheme="minorEastAsia" w:eastAsiaTheme="minorEastAsia"/>
          <w:b/>
          <w:color w:val="000000" w:themeColor="text1"/>
          <w:szCs w:val="21"/>
        </w:rPr>
        <w:t>三、采购清单</w:t>
      </w:r>
    </w:p>
    <w:tbl>
      <w:tblPr>
        <w:tblStyle w:val="10"/>
        <w:tblW w:w="8946" w:type="dxa"/>
        <w:tblInd w:w="93" w:type="dxa"/>
        <w:tblLayout w:type="autofit"/>
        <w:tblCellMar>
          <w:top w:w="0" w:type="dxa"/>
          <w:left w:w="108" w:type="dxa"/>
          <w:bottom w:w="0" w:type="dxa"/>
          <w:right w:w="108" w:type="dxa"/>
        </w:tblCellMar>
      </w:tblPr>
      <w:tblGrid>
        <w:gridCol w:w="720"/>
        <w:gridCol w:w="2520"/>
        <w:gridCol w:w="2200"/>
        <w:gridCol w:w="740"/>
        <w:gridCol w:w="960"/>
        <w:gridCol w:w="1806"/>
      </w:tblGrid>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序号</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设备材料名称</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规格型号</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数量</w:t>
            </w:r>
          </w:p>
        </w:tc>
        <w:tc>
          <w:tcPr>
            <w:tcW w:w="1806" w:type="dxa"/>
            <w:tcBorders>
              <w:top w:val="single" w:color="auto" w:sz="4" w:space="0"/>
              <w:left w:val="nil"/>
              <w:bottom w:val="single" w:color="auto" w:sz="4" w:space="0"/>
              <w:right w:val="single" w:color="auto" w:sz="4" w:space="0"/>
            </w:tcBorders>
          </w:tcPr>
          <w:p>
            <w:pPr>
              <w:widowControl/>
              <w:jc w:val="center"/>
              <w:rPr>
                <w:rFonts w:ascii="宋体" w:hAnsi="宋体" w:cs="宋体"/>
                <w:bCs/>
                <w:color w:val="000000"/>
                <w:kern w:val="0"/>
                <w:sz w:val="24"/>
              </w:rPr>
            </w:pPr>
            <w:r>
              <w:rPr>
                <w:rFonts w:hint="eastAsia" w:ascii="宋体" w:hAnsi="宋体" w:cs="宋体"/>
                <w:bCs/>
                <w:color w:val="000000"/>
                <w:kern w:val="0"/>
                <w:sz w:val="24"/>
              </w:rPr>
              <w:t>备注</w:t>
            </w:r>
          </w:p>
        </w:tc>
      </w:tr>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1</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七氟丙烷检测</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QMP90</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瓶</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31</w:t>
            </w:r>
          </w:p>
        </w:tc>
        <w:tc>
          <w:tcPr>
            <w:tcW w:w="1806"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sz w:val="24"/>
              </w:rPr>
            </w:pPr>
            <w:r>
              <w:rPr>
                <w:rFonts w:hint="eastAsia"/>
                <w:bCs/>
                <w:color w:val="000000"/>
                <w:sz w:val="24"/>
              </w:rPr>
              <w:t>出具检测报告</w:t>
            </w:r>
          </w:p>
        </w:tc>
      </w:tr>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2</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钢瓶拆除、安装</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　</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瓶</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31</w:t>
            </w:r>
          </w:p>
        </w:tc>
        <w:tc>
          <w:tcPr>
            <w:tcW w:w="1806"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sz w:val="24"/>
              </w:rPr>
            </w:pPr>
            <w:r>
              <w:rPr>
                <w:rFonts w:hint="eastAsia"/>
                <w:bCs/>
                <w:color w:val="000000"/>
                <w:sz w:val="24"/>
              </w:rPr>
              <w:t>专业拆装</w:t>
            </w:r>
          </w:p>
        </w:tc>
      </w:tr>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3</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危险品车辆运输</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　</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趟</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2</w:t>
            </w:r>
          </w:p>
        </w:tc>
        <w:tc>
          <w:tcPr>
            <w:tcW w:w="1806"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sz w:val="24"/>
              </w:rPr>
            </w:pPr>
            <w:r>
              <w:rPr>
                <w:rFonts w:hint="eastAsia"/>
                <w:bCs/>
                <w:color w:val="000000"/>
                <w:sz w:val="24"/>
              </w:rPr>
              <w:t>危险品运输</w:t>
            </w:r>
          </w:p>
        </w:tc>
      </w:tr>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4</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七氟丙烷气体充装</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　</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公斤</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1953</w:t>
            </w:r>
          </w:p>
        </w:tc>
        <w:tc>
          <w:tcPr>
            <w:tcW w:w="1806" w:type="dxa"/>
            <w:tcBorders>
              <w:top w:val="single" w:color="auto" w:sz="4" w:space="0"/>
              <w:left w:val="nil"/>
              <w:bottom w:val="single" w:color="auto" w:sz="4" w:space="0"/>
              <w:right w:val="single" w:color="auto" w:sz="4" w:space="0"/>
            </w:tcBorders>
          </w:tcPr>
          <w:p>
            <w:pPr>
              <w:widowControl/>
              <w:jc w:val="center"/>
              <w:rPr>
                <w:rFonts w:ascii="宋体" w:hAnsi="宋体" w:cs="宋体"/>
                <w:bCs/>
                <w:color w:val="000000"/>
                <w:kern w:val="0"/>
                <w:sz w:val="24"/>
              </w:rPr>
            </w:pPr>
          </w:p>
        </w:tc>
      </w:tr>
      <w:tr>
        <w:tblPrEx>
          <w:tblCellMar>
            <w:top w:w="0" w:type="dxa"/>
            <w:left w:w="108" w:type="dxa"/>
            <w:bottom w:w="0" w:type="dxa"/>
            <w:right w:w="108" w:type="dxa"/>
          </w:tblCellMar>
        </w:tblPrEx>
        <w:trPr>
          <w:trHeight w:val="3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5</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驱动瓶检测</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　</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瓶</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2</w:t>
            </w:r>
          </w:p>
        </w:tc>
        <w:tc>
          <w:tcPr>
            <w:tcW w:w="1806" w:type="dxa"/>
            <w:tcBorders>
              <w:top w:val="single" w:color="auto" w:sz="4" w:space="0"/>
              <w:left w:val="nil"/>
              <w:bottom w:val="single" w:color="auto" w:sz="4" w:space="0"/>
              <w:right w:val="single" w:color="auto" w:sz="4" w:space="0"/>
            </w:tcBorders>
          </w:tcPr>
          <w:p>
            <w:pPr>
              <w:widowControl/>
              <w:jc w:val="center"/>
              <w:rPr>
                <w:rFonts w:ascii="宋体" w:hAnsi="宋体" w:cs="宋体"/>
                <w:bCs/>
                <w:color w:val="000000"/>
                <w:kern w:val="0"/>
                <w:sz w:val="24"/>
              </w:rPr>
            </w:pPr>
          </w:p>
        </w:tc>
      </w:tr>
      <w:tr>
        <w:tblPrEx>
          <w:tblCellMar>
            <w:top w:w="0" w:type="dxa"/>
            <w:left w:w="108" w:type="dxa"/>
            <w:bottom w:w="0" w:type="dxa"/>
            <w:right w:w="108" w:type="dxa"/>
          </w:tblCellMar>
        </w:tblPrEx>
        <w:trPr>
          <w:trHeight w:val="375" w:hRule="atLeast"/>
        </w:trPr>
        <w:tc>
          <w:tcPr>
            <w:tcW w:w="894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pPr>
            <w:r>
              <w:rPr>
                <w:rFonts w:hint="eastAsia"/>
              </w:rPr>
              <w:t>备注：1、钢瓶检测充装后需出具符合国家要求的检测报告；</w:t>
            </w:r>
          </w:p>
          <w:p>
            <w:pPr>
              <w:widowControl/>
              <w:jc w:val="left"/>
            </w:pPr>
            <w:r>
              <w:rPr>
                <w:rFonts w:hint="eastAsia"/>
              </w:rPr>
              <w:t>2、拆除安装需由专业人员进行，并符合安全规定；</w:t>
            </w:r>
          </w:p>
          <w:p>
            <w:pPr>
              <w:widowControl/>
              <w:jc w:val="left"/>
              <w:rPr>
                <w:rFonts w:hint="eastAsia"/>
              </w:rPr>
            </w:pPr>
            <w:r>
              <w:rPr>
                <w:rFonts w:hint="eastAsia"/>
              </w:rPr>
              <w:t>3、安装完成后，需进行专业的技术培训及模拟测试；</w:t>
            </w:r>
          </w:p>
          <w:p>
            <w:pPr>
              <w:pStyle w:val="9"/>
              <w:keepNext w:val="0"/>
              <w:keepLines w:val="0"/>
              <w:widowControl/>
              <w:suppressLineNumbers w:val="0"/>
              <w:spacing w:before="0" w:beforeAutospacing="0" w:after="0" w:afterAutospacing="0"/>
              <w:ind w:right="0"/>
            </w:pPr>
            <w:r>
              <w:rPr>
                <w:rFonts w:hint="eastAsia" w:ascii="Times New Roman" w:hAnsi="Times New Roman" w:eastAsia="宋体" w:cs="Times New Roman"/>
                <w:kern w:val="2"/>
                <w:sz w:val="21"/>
                <w:szCs w:val="20"/>
                <w:lang w:val="en-US" w:eastAsia="zh-CN" w:bidi="ar-SA"/>
              </w:rPr>
              <w:t>4.若气瓶在检测过程中发现零部件损坏或不合格需要更换时，按实际数量更换并结算。但是投标人需要在标书中提供以上表格中各种气瓶和对应阀门的单价。</w:t>
            </w:r>
          </w:p>
        </w:tc>
      </w:tr>
    </w:tbl>
    <w:p>
      <w:pPr>
        <w:tabs>
          <w:tab w:val="left" w:pos="284"/>
        </w:tabs>
        <w:spacing w:line="360" w:lineRule="exact"/>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注：1.钢瓶和管道必须进行清洗后再充气；</w:t>
      </w:r>
    </w:p>
    <w:p>
      <w:pPr>
        <w:tabs>
          <w:tab w:val="left" w:pos="284"/>
        </w:tabs>
        <w:spacing w:line="360" w:lineRule="exact"/>
        <w:ind w:firstLine="843" w:firstLineChars="400"/>
        <w:rPr>
          <w:rFonts w:ascii="宋体" w:hAnsi="宋体" w:cs="宋体"/>
          <w:b/>
          <w:bCs/>
          <w:color w:val="000000" w:themeColor="text1"/>
          <w:szCs w:val="21"/>
        </w:rPr>
      </w:pPr>
      <w:r>
        <w:rPr>
          <w:rFonts w:hint="eastAsia" w:ascii="宋体" w:hAnsi="宋体" w:cs="宋体"/>
          <w:b/>
          <w:bCs/>
          <w:color w:val="000000" w:themeColor="text1"/>
          <w:szCs w:val="21"/>
        </w:rPr>
        <w:t>2.充好气，调预完毕，标牌标识要符合消防最新的要求。</w:t>
      </w:r>
    </w:p>
    <w:p>
      <w:pPr>
        <w:spacing w:line="360" w:lineRule="exact"/>
        <w:ind w:right="210"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四</w:t>
      </w:r>
      <w:r>
        <w:rPr>
          <w:rFonts w:ascii="宋体" w:hAnsi="宋体" w:cs="宋体"/>
          <w:b/>
          <w:color w:val="000000" w:themeColor="text1"/>
          <w:szCs w:val="21"/>
        </w:rPr>
        <w:t>、报价</w:t>
      </w:r>
      <w:r>
        <w:rPr>
          <w:rFonts w:hint="eastAsia" w:ascii="宋体" w:hAnsi="宋体" w:cs="宋体"/>
          <w:b/>
          <w:color w:val="000000" w:themeColor="text1"/>
          <w:szCs w:val="21"/>
        </w:rPr>
        <w:t>方式</w:t>
      </w:r>
    </w:p>
    <w:p>
      <w:pPr>
        <w:tabs>
          <w:tab w:val="left" w:pos="284"/>
        </w:tabs>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本项目磋商报价为</w:t>
      </w:r>
      <w:r>
        <w:rPr>
          <w:rFonts w:ascii="宋体" w:hAnsi="宋体" w:cs="宋体"/>
          <w:b/>
          <w:bCs/>
          <w:color w:val="000000" w:themeColor="text1"/>
          <w:szCs w:val="21"/>
        </w:rPr>
        <w:t>固定</w:t>
      </w:r>
      <w:r>
        <w:rPr>
          <w:rFonts w:hint="eastAsia" w:ascii="宋体" w:hAnsi="宋体" w:cs="宋体"/>
          <w:b/>
          <w:bCs/>
          <w:color w:val="000000" w:themeColor="text1"/>
          <w:szCs w:val="21"/>
        </w:rPr>
        <w:t>总</w:t>
      </w:r>
      <w:r>
        <w:rPr>
          <w:rFonts w:ascii="宋体" w:hAnsi="宋体" w:cs="宋体"/>
          <w:b/>
          <w:bCs/>
          <w:color w:val="000000" w:themeColor="text1"/>
          <w:szCs w:val="21"/>
        </w:rPr>
        <w:t>价</w:t>
      </w:r>
      <w:r>
        <w:rPr>
          <w:rFonts w:hint="eastAsia" w:ascii="宋体" w:hAnsi="宋体" w:cs="宋体"/>
          <w:color w:val="000000" w:themeColor="text1"/>
          <w:szCs w:val="21"/>
        </w:rPr>
        <w:t>，磋商总价应包括竞争性磋商文件所确定的采购范围相应货物和</w:t>
      </w:r>
      <w:r>
        <w:rPr>
          <w:rFonts w:ascii="宋体" w:hAnsi="宋体" w:cs="宋体"/>
          <w:color w:val="000000" w:themeColor="text1"/>
          <w:szCs w:val="21"/>
        </w:rPr>
        <w:t>服务</w:t>
      </w:r>
      <w:r>
        <w:rPr>
          <w:rFonts w:hint="eastAsia" w:ascii="宋体" w:hAnsi="宋体" w:cs="宋体"/>
          <w:color w:val="000000" w:themeColor="text1"/>
          <w:szCs w:val="21"/>
        </w:rPr>
        <w:t>的供货、包装、运输、装卸、安装调试、检测、钢瓶和管道清洗、相应的标牌标识配置、保险、管理、维护、劳务、培训、验收、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报价货币为人民币，评审时以人民币为准。</w:t>
      </w:r>
    </w:p>
    <w:p>
      <w:pPr>
        <w:spacing w:line="360" w:lineRule="exact"/>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五</w:t>
      </w:r>
      <w:r>
        <w:rPr>
          <w:rFonts w:ascii="宋体" w:hAnsi="宋体" w:cs="宋体"/>
          <w:b/>
          <w:color w:val="000000" w:themeColor="text1"/>
          <w:szCs w:val="21"/>
        </w:rPr>
        <w:t>、</w:t>
      </w:r>
      <w:r>
        <w:rPr>
          <w:rFonts w:hint="eastAsia" w:ascii="宋体" w:hAnsi="宋体" w:cs="宋体"/>
          <w:b/>
          <w:color w:val="000000" w:themeColor="text1"/>
          <w:szCs w:val="21"/>
        </w:rPr>
        <w:t>交货期及交货</w:t>
      </w:r>
      <w:r>
        <w:rPr>
          <w:rFonts w:ascii="宋体" w:hAnsi="宋体" w:cs="宋体"/>
          <w:b/>
          <w:color w:val="000000" w:themeColor="text1"/>
          <w:szCs w:val="21"/>
        </w:rPr>
        <w:t>地点</w:t>
      </w:r>
    </w:p>
    <w:p>
      <w:pPr>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交货期：合同签订后</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天内。成交供应商应按采购人指定的时间交货并完成安装调试，如不能如期供货，采购人有权终止合同，成交供应商须承担由此对采购人造成的损失。</w:t>
      </w:r>
    </w:p>
    <w:p>
      <w:pPr>
        <w:spacing w:line="3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交货</w:t>
      </w:r>
      <w:r>
        <w:rPr>
          <w:rFonts w:ascii="宋体" w:hAnsi="宋体" w:cs="宋体"/>
          <w:color w:val="000000" w:themeColor="text1"/>
          <w:szCs w:val="21"/>
        </w:rPr>
        <w:t>地点：</w:t>
      </w:r>
      <w:r>
        <w:rPr>
          <w:rFonts w:hint="eastAsia" w:ascii="宋体" w:hAnsi="宋体" w:cs="宋体"/>
          <w:color w:val="000000" w:themeColor="text1"/>
          <w:szCs w:val="21"/>
        </w:rPr>
        <w:t>采购人</w:t>
      </w:r>
      <w:r>
        <w:rPr>
          <w:rFonts w:ascii="宋体" w:hAnsi="宋体" w:cs="宋体"/>
          <w:color w:val="000000" w:themeColor="text1"/>
          <w:szCs w:val="21"/>
        </w:rPr>
        <w:t>指定</w:t>
      </w:r>
      <w:r>
        <w:rPr>
          <w:rFonts w:hint="eastAsia" w:ascii="宋体" w:hAnsi="宋体" w:cs="宋体"/>
          <w:color w:val="000000" w:themeColor="text1"/>
          <w:szCs w:val="21"/>
        </w:rPr>
        <w:t>地点。</w:t>
      </w:r>
    </w:p>
    <w:p>
      <w:pPr>
        <w:spacing w:line="360" w:lineRule="exact"/>
        <w:ind w:firstLine="422" w:firstLineChars="200"/>
        <w:jc w:val="left"/>
      </w:pPr>
      <w:r>
        <w:rPr>
          <w:rFonts w:hint="eastAsia" w:ascii="宋体" w:hAnsi="宋体" w:cs="宋体"/>
          <w:b/>
          <w:color w:val="000000" w:themeColor="text1"/>
          <w:szCs w:val="21"/>
        </w:rPr>
        <w:t>六</w:t>
      </w:r>
      <w:r>
        <w:rPr>
          <w:rFonts w:ascii="宋体" w:hAnsi="宋体" w:cs="宋体"/>
          <w:b/>
          <w:color w:val="000000" w:themeColor="text1"/>
          <w:szCs w:val="21"/>
        </w:rPr>
        <w:t>、验收标准</w:t>
      </w:r>
    </w:p>
    <w:p>
      <w:pPr>
        <w:spacing w:line="360" w:lineRule="exact"/>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1.产品到达交货地点后，采购人和成交供应商在 2 日内共同检验产品数量、质量等状况，由成交供应商负责并承担相关费用，采购人应积极配合。成交供应商进行安装调试并经过性能测试后，由采购人组织联合验收小组验收。验收合格后，双方在《验收报告》上签字确认。</w:t>
      </w:r>
    </w:p>
    <w:p>
      <w:pPr>
        <w:spacing w:line="360" w:lineRule="exact"/>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pPr>
        <w:spacing w:line="360" w:lineRule="exact"/>
        <w:ind w:firstLine="420" w:firstLineChars="200"/>
        <w:jc w:val="left"/>
        <w:rPr>
          <w:rFonts w:ascii="宋体" w:hAnsi="宋体" w:cs="宋体"/>
          <w:b/>
          <w:color w:val="000000" w:themeColor="text1"/>
          <w:szCs w:val="21"/>
        </w:rPr>
      </w:pPr>
      <w:r>
        <w:rPr>
          <w:rFonts w:hint="eastAsia" w:cs="宋体" w:asciiTheme="minorEastAsia" w:hAnsiTheme="minorEastAsia" w:eastAsiaTheme="minorEastAsia"/>
          <w:color w:val="000000" w:themeColor="text1"/>
          <w:szCs w:val="21"/>
        </w:rPr>
        <w:t>3.经双方共同验收，产品性能参数达不到招标合同要求的，采购人可以拒收，并可以解除合同或扣留履约保证金。</w:t>
      </w:r>
    </w:p>
    <w:p>
      <w:pPr>
        <w:spacing w:line="360" w:lineRule="exact"/>
        <w:ind w:firstLine="422" w:firstLineChars="200"/>
        <w:rPr>
          <w:rFonts w:hint="eastAsia" w:cs="宋体" w:asciiTheme="minorEastAsia" w:hAnsiTheme="minorEastAsia" w:eastAsiaTheme="minorEastAsia"/>
          <w:b/>
          <w:bCs/>
          <w:color w:val="000000" w:themeColor="text1"/>
          <w:szCs w:val="21"/>
        </w:rPr>
      </w:pPr>
      <w:r>
        <w:rPr>
          <w:rFonts w:hint="eastAsia" w:cs="宋体" w:asciiTheme="minorEastAsia" w:hAnsiTheme="minorEastAsia" w:eastAsiaTheme="minorEastAsia"/>
          <w:b/>
          <w:bCs/>
          <w:color w:val="000000" w:themeColor="text1"/>
          <w:szCs w:val="21"/>
        </w:rPr>
        <w:t>七、质保期及售后服务</w:t>
      </w:r>
    </w:p>
    <w:p>
      <w:pPr>
        <w:spacing w:line="360" w:lineRule="exact"/>
        <w:ind w:firstLine="420" w:firstLineChars="200"/>
        <w:rPr>
          <w:rFonts w:hint="eastAsia"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1.中标单位按照</w:t>
      </w:r>
      <w:r>
        <w:rPr>
          <w:rFonts w:hint="eastAsia" w:cs="宋体" w:asciiTheme="minorEastAsia" w:hAnsiTheme="minorEastAsia" w:eastAsiaTheme="minorEastAsia"/>
          <w:color w:val="000000" w:themeColor="text1"/>
          <w:szCs w:val="21"/>
          <w:lang w:eastAsia="zh-CN"/>
        </w:rPr>
        <w:t>采购</w:t>
      </w:r>
      <w:r>
        <w:rPr>
          <w:rFonts w:hint="eastAsia" w:cs="宋体" w:asciiTheme="minorEastAsia" w:hAnsiTheme="minorEastAsia" w:eastAsiaTheme="minorEastAsia"/>
          <w:color w:val="000000" w:themeColor="text1"/>
          <w:szCs w:val="21"/>
        </w:rPr>
        <w:t>人规定的时间进行检测和充装。</w:t>
      </w:r>
    </w:p>
    <w:p>
      <w:pPr>
        <w:spacing w:line="360" w:lineRule="exact"/>
        <w:ind w:firstLine="420" w:firstLineChars="200"/>
        <w:rPr>
          <w:rFonts w:hint="eastAsia"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2中标单位向</w:t>
      </w:r>
      <w:r>
        <w:rPr>
          <w:rFonts w:hint="eastAsia" w:cs="宋体" w:asciiTheme="minorEastAsia" w:hAnsiTheme="minorEastAsia" w:eastAsiaTheme="minorEastAsia"/>
          <w:color w:val="000000" w:themeColor="text1"/>
          <w:szCs w:val="21"/>
          <w:lang w:eastAsia="zh-CN"/>
        </w:rPr>
        <w:t>采购</w:t>
      </w:r>
      <w:bookmarkStart w:id="0" w:name="_GoBack"/>
      <w:bookmarkEnd w:id="0"/>
      <w:r>
        <w:rPr>
          <w:rFonts w:hint="eastAsia" w:cs="宋体" w:asciiTheme="minorEastAsia" w:hAnsiTheme="minorEastAsia" w:eastAsiaTheme="minorEastAsia"/>
          <w:color w:val="000000" w:themeColor="text1"/>
          <w:szCs w:val="21"/>
          <w:lang w:eastAsia="zh-CN"/>
        </w:rPr>
        <w:t>人</w:t>
      </w:r>
      <w:r>
        <w:rPr>
          <w:rFonts w:hint="eastAsia" w:cs="宋体" w:asciiTheme="minorEastAsia" w:hAnsiTheme="minorEastAsia" w:eastAsiaTheme="minorEastAsia"/>
          <w:color w:val="000000" w:themeColor="text1"/>
          <w:szCs w:val="21"/>
        </w:rPr>
        <w:t>提供可靠的售后技术服务人员的联系方式，随时为</w:t>
      </w:r>
      <w:r>
        <w:rPr>
          <w:rFonts w:hint="eastAsia" w:cs="宋体" w:asciiTheme="minorEastAsia" w:hAnsiTheme="minorEastAsia" w:eastAsiaTheme="minorEastAsia"/>
          <w:color w:val="000000" w:themeColor="text1"/>
          <w:szCs w:val="21"/>
          <w:lang w:eastAsia="zh-CN"/>
        </w:rPr>
        <w:t>采购人</w:t>
      </w:r>
      <w:r>
        <w:rPr>
          <w:rFonts w:hint="eastAsia" w:cs="宋体" w:asciiTheme="minorEastAsia" w:hAnsiTheme="minorEastAsia" w:eastAsiaTheme="minorEastAsia"/>
          <w:color w:val="000000" w:themeColor="text1"/>
          <w:szCs w:val="21"/>
        </w:rPr>
        <w:t>提供售后或技术咨询，并提供技术支持。</w:t>
      </w:r>
    </w:p>
    <w:p>
      <w:pPr>
        <w:spacing w:line="360" w:lineRule="exact"/>
        <w:ind w:firstLine="420" w:firstLineChars="200"/>
        <w:rPr>
          <w:rFonts w:hint="eastAsia"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lang w:val="en-US" w:eastAsia="zh-CN"/>
        </w:rPr>
        <w:t>3</w:t>
      </w:r>
      <w:r>
        <w:rPr>
          <w:rFonts w:hint="eastAsia" w:cs="宋体" w:asciiTheme="minorEastAsia" w:hAnsiTheme="minorEastAsia" w:eastAsiaTheme="minorEastAsia"/>
          <w:color w:val="000000" w:themeColor="text1"/>
          <w:szCs w:val="21"/>
        </w:rPr>
        <w:t>货物的质保期至少1年，从最终验收合格交付</w:t>
      </w:r>
      <w:r>
        <w:rPr>
          <w:rFonts w:hint="eastAsia" w:cs="宋体" w:asciiTheme="minorEastAsia" w:hAnsiTheme="minorEastAsia" w:eastAsiaTheme="minorEastAsia"/>
          <w:color w:val="000000" w:themeColor="text1"/>
          <w:szCs w:val="21"/>
          <w:lang w:eastAsia="zh-CN"/>
        </w:rPr>
        <w:t>招标人</w:t>
      </w:r>
      <w:r>
        <w:rPr>
          <w:rFonts w:hint="eastAsia" w:cs="宋体" w:asciiTheme="minorEastAsia" w:hAnsiTheme="minorEastAsia" w:eastAsiaTheme="minorEastAsia"/>
          <w:color w:val="000000" w:themeColor="text1"/>
          <w:szCs w:val="21"/>
        </w:rPr>
        <w:t>之日起开始计算。在产品保修期内，一旦发生质量问题，</w:t>
      </w:r>
      <w:r>
        <w:rPr>
          <w:rFonts w:hint="eastAsia" w:cs="宋体" w:asciiTheme="minorEastAsia" w:hAnsiTheme="minorEastAsia" w:eastAsiaTheme="minorEastAsia"/>
          <w:color w:val="000000" w:themeColor="text1"/>
          <w:szCs w:val="21"/>
          <w:lang w:eastAsia="zh-CN"/>
        </w:rPr>
        <w:t>中标单位</w:t>
      </w:r>
      <w:r>
        <w:rPr>
          <w:rFonts w:hint="eastAsia" w:cs="宋体" w:asciiTheme="minorEastAsia" w:hAnsiTheme="minorEastAsia" w:eastAsiaTheme="minorEastAsia"/>
          <w:color w:val="000000" w:themeColor="text1"/>
          <w:szCs w:val="21"/>
        </w:rPr>
        <w:t>应保证在接到通知工作日的4小时内到现场进行维修、更换或退货，中标单位提供的商品出现非使用方人为因素造成的质量问题，由中标单位负责免费维修，如维修仍不能达到甲方使用要求的，中标单位应提供原厂同品牌同质量的商品无偿调换。如因商品质量问题给需方造成损失或产生安全事故，一切责任由中标单位承担，并负责赔偿需方所造成的损失。</w:t>
      </w:r>
    </w:p>
    <w:p>
      <w:pPr>
        <w:spacing w:line="360" w:lineRule="exact"/>
        <w:ind w:firstLine="420" w:firstLineChars="200"/>
        <w:rPr>
          <w:rFonts w:hint="eastAsia" w:cs="宋体" w:asciiTheme="minorEastAsia" w:hAnsiTheme="minorEastAsia" w:eastAsiaTheme="minorEastAsia"/>
          <w:color w:val="000000" w:themeColor="text1"/>
          <w:szCs w:val="21"/>
          <w:lang w:val="de-DE"/>
        </w:rPr>
      </w:pPr>
    </w:p>
    <w:p>
      <w:pPr>
        <w:spacing w:line="360" w:lineRule="exact"/>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八</w:t>
      </w:r>
      <w:r>
        <w:rPr>
          <w:rFonts w:ascii="宋体" w:hAnsi="宋体" w:cs="宋体"/>
          <w:b/>
          <w:color w:val="000000" w:themeColor="text1"/>
          <w:szCs w:val="21"/>
        </w:rPr>
        <w:t>、付款方式</w:t>
      </w:r>
    </w:p>
    <w:p>
      <w:pPr>
        <w:pStyle w:val="9"/>
        <w:keepNext w:val="0"/>
        <w:keepLines w:val="0"/>
        <w:widowControl/>
        <w:suppressLineNumbers w:val="0"/>
        <w:spacing w:before="0" w:beforeAutospacing="0" w:after="0" w:afterAutospacing="0"/>
        <w:ind w:left="0" w:right="0" w:firstLine="0"/>
        <w:rPr>
          <w:rFonts w:hint="eastAsia" w:ascii="宋体" w:hAnsi="宋体" w:eastAsia="宋体" w:cs="Times New Roman"/>
          <w:color w:val="000000" w:themeColor="text1"/>
          <w:kern w:val="2"/>
          <w:sz w:val="21"/>
          <w:szCs w:val="22"/>
          <w:lang w:val="en-US" w:eastAsia="zh-CN" w:bidi="ar-SA"/>
        </w:rPr>
      </w:pPr>
      <w:r>
        <w:rPr>
          <w:rFonts w:hint="eastAsia" w:ascii="宋体" w:hAnsi="宋体" w:eastAsia="宋体" w:cs="Times New Roman"/>
          <w:color w:val="000000" w:themeColor="text1"/>
          <w:kern w:val="2"/>
          <w:sz w:val="21"/>
          <w:szCs w:val="22"/>
          <w:lang w:val="en-US" w:eastAsia="zh-CN" w:bidi="ar-SA"/>
        </w:rPr>
        <w:t>本工程项目无预付款，</w:t>
      </w:r>
      <w:r>
        <w:t>项目全部完成并验收合格，提供相关的资料后一个月内，支付合同</w:t>
      </w:r>
      <w:r>
        <w:rPr>
          <w:rFonts w:hint="eastAsia" w:ascii="宋体" w:hAnsi="宋体" w:eastAsia="宋体" w:cs="Times New Roman"/>
          <w:color w:val="000000" w:themeColor="text1"/>
          <w:kern w:val="2"/>
          <w:sz w:val="21"/>
          <w:szCs w:val="22"/>
          <w:lang w:val="en-US" w:eastAsia="zh-CN" w:bidi="ar-SA"/>
        </w:rPr>
        <w:t>总价的95%，5%余款作为质量保修金在验收合格满一年后支付。</w:t>
      </w:r>
    </w:p>
    <w:p>
      <w:pPr>
        <w:pStyle w:val="9"/>
        <w:keepNext w:val="0"/>
        <w:keepLines w:val="0"/>
        <w:widowControl/>
        <w:suppressLineNumbers w:val="0"/>
        <w:spacing w:before="0" w:beforeAutospacing="0" w:after="0" w:afterAutospacing="0"/>
        <w:ind w:left="0" w:right="0" w:firstLine="0"/>
        <w:rPr>
          <w:rFonts w:hint="eastAsia" w:ascii="宋体" w:hAnsi="宋体" w:eastAsia="宋体" w:cs="Times New Roman"/>
          <w:color w:val="000000" w:themeColor="text1"/>
          <w:kern w:val="2"/>
          <w:sz w:val="21"/>
          <w:szCs w:val="22"/>
          <w:lang w:val="en-US" w:eastAsia="zh-CN" w:bidi="ar-SA"/>
        </w:rPr>
      </w:pPr>
    </w:p>
    <w:p>
      <w:pPr>
        <w:pStyle w:val="9"/>
        <w:keepNext w:val="0"/>
        <w:keepLines w:val="0"/>
        <w:widowControl/>
        <w:suppressLineNumbers w:val="0"/>
        <w:shd w:val="clear" w:fill="FFFFFF"/>
        <w:spacing w:before="0" w:beforeAutospacing="0" w:after="240" w:afterAutospacing="0" w:line="420" w:lineRule="atLeast"/>
        <w:ind w:left="0" w:right="0" w:firstLine="420"/>
        <w:jc w:val="both"/>
      </w:pPr>
    </w:p>
    <w:p>
      <w:pPr>
        <w:jc w:val="center"/>
        <w:rPr>
          <w:rFonts w:hint="eastAsia" w:ascii="宋体" w:hAnsi="宋体" w:cs="宋体"/>
          <w:b/>
          <w:sz w:val="30"/>
          <w:szCs w:val="30"/>
        </w:rPr>
      </w:pPr>
    </w:p>
    <w:p>
      <w:pPr>
        <w:jc w:val="center"/>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jc w:val="both"/>
        <w:rPr>
          <w:rFonts w:hint="eastAsia" w:ascii="宋体" w:hAnsi="宋体" w:cs="宋体"/>
          <w:b/>
          <w:sz w:val="30"/>
          <w:szCs w:val="30"/>
        </w:rPr>
      </w:pPr>
    </w:p>
    <w:p>
      <w:pPr>
        <w:jc w:val="center"/>
        <w:rPr>
          <w:rFonts w:ascii="宋体" w:hAnsi="宋体" w:cs="宋体"/>
          <w:b/>
          <w:sz w:val="30"/>
          <w:szCs w:val="30"/>
        </w:rPr>
      </w:pPr>
      <w:r>
        <w:rPr>
          <w:rFonts w:hint="eastAsia" w:ascii="宋体" w:hAnsi="宋体" w:cs="宋体"/>
          <w:b/>
          <w:sz w:val="30"/>
          <w:szCs w:val="30"/>
        </w:rPr>
        <w:t>第五章  评审细则</w:t>
      </w:r>
    </w:p>
    <w:p>
      <w:pPr>
        <w:snapToGrid w:val="0"/>
        <w:spacing w:line="360" w:lineRule="exact"/>
        <w:ind w:firstLine="422" w:firstLineChars="200"/>
        <w:rPr>
          <w:rFonts w:ascii="宋体" w:hAnsi="宋体"/>
          <w:b/>
          <w:szCs w:val="21"/>
        </w:rPr>
      </w:pPr>
      <w:r>
        <w:rPr>
          <w:rFonts w:hint="eastAsia" w:ascii="宋体" w:hAnsi="宋体"/>
          <w:b/>
          <w:szCs w:val="21"/>
          <w:lang w:eastAsia="zh-CN"/>
        </w:rPr>
        <w:t>一</w:t>
      </w:r>
      <w:r>
        <w:rPr>
          <w:rFonts w:ascii="宋体" w:hAnsi="宋体"/>
          <w:b/>
          <w:szCs w:val="21"/>
        </w:rPr>
        <w:t>、评分细则：</w:t>
      </w:r>
    </w:p>
    <w:p>
      <w:pPr>
        <w:spacing w:line="360" w:lineRule="exact"/>
        <w:ind w:firstLine="422" w:firstLineChars="200"/>
        <w:rPr>
          <w:rFonts w:ascii="宋体" w:hAnsi="宋体"/>
          <w:b/>
          <w:bCs/>
          <w:szCs w:val="21"/>
        </w:rPr>
      </w:pPr>
      <w:r>
        <w:rPr>
          <w:rFonts w:hint="eastAsia" w:ascii="宋体" w:hAnsi="宋体"/>
          <w:b/>
          <w:bCs/>
          <w:szCs w:val="21"/>
        </w:rPr>
        <w:t>(一) 价格基准分（10分）</w:t>
      </w:r>
    </w:p>
    <w:p>
      <w:pPr>
        <w:spacing w:line="360" w:lineRule="exact"/>
        <w:ind w:firstLine="420" w:firstLineChars="200"/>
        <w:rPr>
          <w:rFonts w:ascii="宋体" w:hAnsi="宋体"/>
          <w:szCs w:val="21"/>
        </w:rPr>
      </w:pPr>
      <w:r>
        <w:rPr>
          <w:rFonts w:hint="eastAsia" w:ascii="宋体" w:hAnsi="宋体"/>
          <w:szCs w:val="21"/>
        </w:rPr>
        <w:t>第一步：最终报价在采购预算价格以下的，为有效报价。超出此范围的报价为无效报价。无效报价的响应文件不进行评审，也不成交。</w:t>
      </w:r>
    </w:p>
    <w:p>
      <w:pPr>
        <w:spacing w:line="360" w:lineRule="exact"/>
        <w:ind w:firstLine="420" w:firstLineChars="200"/>
        <w:rPr>
          <w:rFonts w:ascii="宋体" w:hAnsi="宋体"/>
          <w:szCs w:val="21"/>
        </w:rPr>
      </w:pPr>
      <w:r>
        <w:rPr>
          <w:rFonts w:hint="eastAsia" w:ascii="宋体" w:hAnsi="宋体"/>
          <w:szCs w:val="21"/>
        </w:rPr>
        <w:t>第二步：在所有有效报价中选择报价最低的确定为基准报价。</w:t>
      </w:r>
    </w:p>
    <w:p>
      <w:pPr>
        <w:spacing w:line="360" w:lineRule="exact"/>
        <w:ind w:firstLine="420" w:firstLineChars="200"/>
        <w:rPr>
          <w:rFonts w:ascii="宋体" w:hAnsi="宋体"/>
          <w:szCs w:val="21"/>
        </w:rPr>
      </w:pPr>
      <w:r>
        <w:rPr>
          <w:rFonts w:hint="eastAsia" w:ascii="宋体" w:hAnsi="宋体"/>
          <w:szCs w:val="21"/>
        </w:rPr>
        <w:t>第三步：将所有有效报价与基准报价相比较：等于基准报价的得10分，其他供应商的价格分按照下列公式计算（计算结果四舍五入保留两位小数）：</w:t>
      </w:r>
    </w:p>
    <w:p>
      <w:pPr>
        <w:spacing w:line="360" w:lineRule="exact"/>
        <w:ind w:firstLine="420" w:firstLineChars="200"/>
        <w:rPr>
          <w:rFonts w:ascii="宋体" w:hAnsi="宋体"/>
          <w:bCs/>
          <w:szCs w:val="21"/>
          <w:u w:val="single"/>
        </w:rPr>
      </w:pPr>
      <w:r>
        <w:rPr>
          <w:rFonts w:hint="eastAsia" w:ascii="宋体" w:hAnsi="宋体"/>
          <w:bCs/>
          <w:szCs w:val="21"/>
          <w:u w:val="single"/>
        </w:rPr>
        <w:t>最终报价得分＝（基准报价/报价）×</w:t>
      </w:r>
      <w:r>
        <w:rPr>
          <w:rFonts w:hint="eastAsia" w:ascii="宋体" w:hAnsi="宋体"/>
          <w:szCs w:val="21"/>
          <w:u w:val="single"/>
        </w:rPr>
        <w:t>30</w:t>
      </w:r>
      <w:r>
        <w:rPr>
          <w:rFonts w:hint="eastAsia" w:ascii="宋体" w:hAnsi="宋体"/>
          <w:bCs/>
          <w:szCs w:val="21"/>
          <w:u w:val="single"/>
        </w:rPr>
        <w:t>%×100</w:t>
      </w:r>
    </w:p>
    <w:p>
      <w:pPr>
        <w:widowControl/>
        <w:shd w:val="clear" w:color="auto" w:fill="FFFFFF"/>
        <w:spacing w:line="360" w:lineRule="exact"/>
        <w:ind w:firstLine="425"/>
        <w:rPr>
          <w:rFonts w:ascii="宋体" w:hAnsi="宋体" w:cs="宋体"/>
          <w:b/>
          <w:bCs/>
          <w:color w:val="0C0C0C"/>
          <w:szCs w:val="21"/>
        </w:rPr>
      </w:pPr>
      <w:r>
        <w:rPr>
          <w:rFonts w:hint="eastAsia" w:ascii="宋体" w:hAnsi="宋体" w:cs="宋体"/>
          <w:b/>
          <w:bCs/>
          <w:color w:val="0C0C0C"/>
          <w:szCs w:val="21"/>
        </w:rPr>
        <w:t>（二）综合实力（20分）</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投标人具有灭火系统充装资质的得4分，否则不得分；</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投标人提供相关钢瓶检测资质授权的得4分，否则不得分；</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投标人提供有效的质量管理体系认证证书ISO9001的得4分，否则不得分；</w:t>
      </w:r>
    </w:p>
    <w:p>
      <w:pPr>
        <w:spacing w:line="36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投标人提供有效的职业健康安全管理体系认证证书得4分，否则不得分；</w:t>
      </w:r>
    </w:p>
    <w:p>
      <w:pPr>
        <w:spacing w:line="36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投标人提供有效危化品经营许可证的得4分，否则不得分。</w:t>
      </w:r>
    </w:p>
    <w:p>
      <w:pPr>
        <w:widowControl/>
        <w:shd w:val="clear" w:color="auto" w:fill="FFFFFF"/>
        <w:spacing w:line="360" w:lineRule="exact"/>
        <w:ind w:firstLine="425"/>
        <w:rPr>
          <w:rFonts w:ascii="宋体" w:hAnsi="宋体" w:cs="宋体"/>
          <w:b/>
          <w:bCs/>
          <w:color w:val="000000"/>
          <w:szCs w:val="21"/>
        </w:rPr>
      </w:pPr>
      <w:r>
        <w:rPr>
          <w:rFonts w:hint="eastAsia" w:ascii="宋体" w:hAnsi="宋体"/>
          <w:b/>
          <w:bCs/>
          <w:szCs w:val="21"/>
        </w:rPr>
        <w:t>（三）</w:t>
      </w:r>
      <w:r>
        <w:rPr>
          <w:rFonts w:hint="eastAsia" w:ascii="宋体" w:hAnsi="宋体" w:cs="宋体"/>
          <w:b/>
          <w:bCs/>
          <w:color w:val="0C0C0C"/>
          <w:szCs w:val="21"/>
        </w:rPr>
        <w:t>技术服务方案</w:t>
      </w:r>
      <w:r>
        <w:rPr>
          <w:rFonts w:hint="eastAsia" w:ascii="宋体" w:hAnsi="宋体" w:cs="宋体"/>
          <w:b/>
          <w:bCs/>
          <w:color w:val="000000"/>
          <w:szCs w:val="21"/>
        </w:rPr>
        <w:t>（50分）</w:t>
      </w:r>
    </w:p>
    <w:p>
      <w:pPr>
        <w:pStyle w:val="20"/>
        <w:spacing w:beforeLines="0" w:afterLines="0" w:line="360" w:lineRule="exact"/>
        <w:rPr>
          <w:szCs w:val="21"/>
        </w:rPr>
      </w:pPr>
      <w:r>
        <w:rPr>
          <w:rFonts w:hint="eastAsia"/>
          <w:szCs w:val="21"/>
        </w:rPr>
        <w:t>1.评标委员会根据投标供应商针对本项目现场环境分布情况是否理解透彻方面进行综合评审：优得10-7分，良得6-3分，一般得2-0分。</w:t>
      </w:r>
    </w:p>
    <w:p>
      <w:pPr>
        <w:pStyle w:val="20"/>
        <w:spacing w:beforeLines="0" w:afterLines="0" w:line="360" w:lineRule="exact"/>
        <w:rPr>
          <w:szCs w:val="21"/>
        </w:rPr>
      </w:pPr>
      <w:r>
        <w:rPr>
          <w:rFonts w:hint="eastAsia"/>
          <w:szCs w:val="21"/>
        </w:rPr>
        <w:t>2.评标委员会根据投标供应商针对本项目拆装实施方案的合理性和安全性方面进行综合评审：优得10-7分，良得6-3分，一般得2-0分。</w:t>
      </w:r>
    </w:p>
    <w:p>
      <w:pPr>
        <w:pStyle w:val="20"/>
        <w:spacing w:beforeLines="0" w:afterLines="0" w:line="360" w:lineRule="exact"/>
        <w:rPr>
          <w:szCs w:val="21"/>
        </w:rPr>
      </w:pPr>
      <w:r>
        <w:rPr>
          <w:rFonts w:hint="eastAsia"/>
          <w:szCs w:val="21"/>
        </w:rPr>
        <w:t>3.评标委员会根据投标供应商是否具有资质的专业运输公司安排车辆方面进行综合评审：优得10-7分，良得6-3分，一般得2-0分。</w:t>
      </w:r>
    </w:p>
    <w:p>
      <w:pPr>
        <w:pStyle w:val="20"/>
        <w:spacing w:beforeLines="0" w:afterLines="0" w:line="360" w:lineRule="exact"/>
        <w:rPr>
          <w:szCs w:val="21"/>
        </w:rPr>
      </w:pPr>
      <w:r>
        <w:rPr>
          <w:rFonts w:hint="eastAsia"/>
          <w:szCs w:val="21"/>
        </w:rPr>
        <w:t>4.评标委员会根据投标供应商是否具有资质的专业检测充装公司方面进行综合评审：</w:t>
      </w:r>
    </w:p>
    <w:p>
      <w:pPr>
        <w:pStyle w:val="20"/>
        <w:spacing w:beforeLines="0" w:afterLines="0" w:line="360" w:lineRule="exact"/>
        <w:rPr>
          <w:szCs w:val="21"/>
        </w:rPr>
      </w:pPr>
      <w:r>
        <w:rPr>
          <w:rFonts w:hint="eastAsia"/>
          <w:szCs w:val="21"/>
        </w:rPr>
        <w:t>优得10-7分，良得6-3分，一般得2-0分。</w:t>
      </w:r>
    </w:p>
    <w:p>
      <w:pPr>
        <w:pStyle w:val="20"/>
        <w:spacing w:beforeLines="0" w:afterLines="0" w:line="360" w:lineRule="exact"/>
        <w:rPr>
          <w:szCs w:val="21"/>
        </w:rPr>
      </w:pPr>
      <w:r>
        <w:rPr>
          <w:rFonts w:hint="eastAsia"/>
          <w:szCs w:val="21"/>
        </w:rPr>
        <w:t>5.评标委员会根据投标供应商针对本项目的安全保障措施是否切实有效方面进行综合评审：优得10-7分，良得6-3分，一般得2-0分。</w:t>
      </w:r>
    </w:p>
    <w:p>
      <w:pPr>
        <w:spacing w:line="360" w:lineRule="exact"/>
        <w:ind w:firstLine="422" w:firstLineChars="200"/>
        <w:rPr>
          <w:rFonts w:ascii="宋体" w:hAnsi="宋体"/>
          <w:b/>
          <w:bCs/>
          <w:szCs w:val="21"/>
        </w:rPr>
      </w:pPr>
      <w:r>
        <w:rPr>
          <w:rFonts w:hint="eastAsia" w:ascii="宋体" w:hAnsi="宋体"/>
          <w:b/>
          <w:bCs/>
          <w:szCs w:val="21"/>
        </w:rPr>
        <w:t>（四）供应商业绩（8分）</w:t>
      </w:r>
    </w:p>
    <w:p>
      <w:pPr>
        <w:pStyle w:val="20"/>
        <w:spacing w:beforeLines="0" w:afterLines="0" w:line="360" w:lineRule="exact"/>
        <w:rPr>
          <w:szCs w:val="21"/>
        </w:rPr>
      </w:pPr>
      <w:r>
        <w:rPr>
          <w:rFonts w:hint="eastAsia"/>
          <w:szCs w:val="21"/>
        </w:rPr>
        <w:t>投标供应商提供2016年1月1日以来同类项目业绩合同的，每有一份得2分，最高得8分。</w:t>
      </w:r>
    </w:p>
    <w:p>
      <w:pPr>
        <w:spacing w:line="360" w:lineRule="exact"/>
        <w:ind w:firstLine="422" w:firstLineChars="200"/>
        <w:rPr>
          <w:rFonts w:ascii="宋体" w:hAnsi="宋体"/>
          <w:b/>
          <w:bCs/>
          <w:szCs w:val="21"/>
        </w:rPr>
      </w:pPr>
      <w:r>
        <w:rPr>
          <w:rFonts w:hint="eastAsia" w:ascii="宋体" w:hAnsi="宋体"/>
          <w:b/>
          <w:bCs/>
          <w:szCs w:val="21"/>
        </w:rPr>
        <w:t>（五）售后服务（12分）</w:t>
      </w:r>
    </w:p>
    <w:p>
      <w:pPr>
        <w:spacing w:line="360" w:lineRule="exact"/>
        <w:ind w:firstLine="420" w:firstLineChars="200"/>
        <w:rPr>
          <w:rFonts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1.</w:t>
      </w:r>
      <w:r>
        <w:rPr>
          <w:rFonts w:hint="eastAsia"/>
          <w:szCs w:val="21"/>
        </w:rPr>
        <w:t>评标委员会根据投标供应商</w:t>
      </w:r>
      <w:r>
        <w:rPr>
          <w:rFonts w:hint="eastAsia" w:cs="宋体" w:asciiTheme="minorEastAsia" w:hAnsiTheme="minorEastAsia" w:eastAsiaTheme="minorEastAsia"/>
          <w:color w:val="000000" w:themeColor="text1"/>
          <w:szCs w:val="21"/>
        </w:rPr>
        <w:t>售后服务体系的合理性、技术力量的完备性</w:t>
      </w:r>
      <w:r>
        <w:rPr>
          <w:rFonts w:hint="eastAsia"/>
          <w:szCs w:val="21"/>
        </w:rPr>
        <w:t>方面进行综合评审：</w:t>
      </w:r>
      <w:r>
        <w:rPr>
          <w:rFonts w:hint="eastAsia" w:cs="宋体" w:asciiTheme="minorEastAsia" w:hAnsiTheme="minorEastAsia" w:eastAsiaTheme="minorEastAsia"/>
          <w:color w:val="000000" w:themeColor="text1"/>
          <w:szCs w:val="21"/>
        </w:rPr>
        <w:t>优得</w:t>
      </w:r>
      <w:r>
        <w:rPr>
          <w:rFonts w:cs="宋体" w:asciiTheme="minorEastAsia" w:hAnsiTheme="minorEastAsia" w:eastAsiaTheme="minorEastAsia"/>
          <w:color w:val="000000" w:themeColor="text1"/>
          <w:szCs w:val="21"/>
        </w:rPr>
        <w:t>3</w:t>
      </w:r>
      <w:r>
        <w:rPr>
          <w:rFonts w:hint="eastAsia" w:cs="宋体" w:asciiTheme="minorEastAsia" w:hAnsiTheme="minorEastAsia" w:eastAsiaTheme="minorEastAsia"/>
          <w:color w:val="000000" w:themeColor="text1"/>
          <w:szCs w:val="21"/>
        </w:rPr>
        <w:t>分，良得</w:t>
      </w:r>
      <w:r>
        <w:rPr>
          <w:rFonts w:cs="宋体" w:asciiTheme="minorEastAsia" w:hAnsiTheme="minorEastAsia" w:eastAsiaTheme="minorEastAsia"/>
          <w:color w:val="000000" w:themeColor="text1"/>
          <w:szCs w:val="21"/>
        </w:rPr>
        <w:t>2</w:t>
      </w:r>
      <w:r>
        <w:rPr>
          <w:rFonts w:hint="eastAsia" w:cs="宋体" w:asciiTheme="minorEastAsia" w:hAnsiTheme="minorEastAsia" w:eastAsiaTheme="minorEastAsia"/>
          <w:color w:val="000000" w:themeColor="text1"/>
          <w:szCs w:val="21"/>
        </w:rPr>
        <w:t>分，一般得</w:t>
      </w:r>
      <w:r>
        <w:rPr>
          <w:rFonts w:cs="宋体" w:asciiTheme="minorEastAsia" w:hAnsiTheme="minorEastAsia" w:eastAsiaTheme="minorEastAsia"/>
          <w:color w:val="000000" w:themeColor="text1"/>
          <w:szCs w:val="21"/>
        </w:rPr>
        <w:t>1</w:t>
      </w:r>
      <w:r>
        <w:rPr>
          <w:rFonts w:hint="eastAsia" w:cs="宋体" w:asciiTheme="minorEastAsia" w:hAnsiTheme="minorEastAsia" w:eastAsiaTheme="minorEastAsia"/>
          <w:color w:val="000000" w:themeColor="text1"/>
          <w:szCs w:val="21"/>
        </w:rPr>
        <w:t>分。</w:t>
      </w:r>
    </w:p>
    <w:p>
      <w:pPr>
        <w:spacing w:line="360" w:lineRule="exact"/>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w:t>
      </w:r>
      <w:r>
        <w:rPr>
          <w:rFonts w:hint="eastAsia"/>
          <w:szCs w:val="21"/>
        </w:rPr>
        <w:t>投标供应商</w:t>
      </w:r>
      <w:r>
        <w:rPr>
          <w:rFonts w:hint="eastAsia" w:cs="宋体" w:asciiTheme="minorEastAsia" w:hAnsiTheme="minorEastAsia" w:eastAsiaTheme="minorEastAsia"/>
          <w:color w:val="000000" w:themeColor="text1"/>
          <w:szCs w:val="21"/>
        </w:rPr>
        <w:t>投标产品的免费保修期在满足</w:t>
      </w:r>
      <w:r>
        <w:rPr>
          <w:rFonts w:hint="eastAsia" w:cs="宋体" w:asciiTheme="minorEastAsia" w:hAnsiTheme="minorEastAsia" w:eastAsiaTheme="minorEastAsia"/>
          <w:color w:val="000000" w:themeColor="text1"/>
          <w:szCs w:val="21"/>
          <w:lang w:eastAsia="zh-CN"/>
        </w:rPr>
        <w:t>采购</w:t>
      </w:r>
      <w:r>
        <w:rPr>
          <w:rFonts w:hint="eastAsia" w:cs="宋体" w:asciiTheme="minorEastAsia" w:hAnsiTheme="minorEastAsia" w:eastAsiaTheme="minorEastAsia"/>
          <w:color w:val="000000" w:themeColor="text1"/>
          <w:szCs w:val="21"/>
        </w:rPr>
        <w:t>文件</w:t>
      </w:r>
      <w:r>
        <w:rPr>
          <w:rFonts w:cs="宋体" w:asciiTheme="minorEastAsia" w:hAnsiTheme="minorEastAsia" w:eastAsiaTheme="minorEastAsia"/>
          <w:color w:val="000000" w:themeColor="text1"/>
          <w:szCs w:val="21"/>
        </w:rPr>
        <w:t>要求</w:t>
      </w:r>
      <w:r>
        <w:rPr>
          <w:rFonts w:hint="eastAsia" w:cs="宋体" w:asciiTheme="minorEastAsia" w:hAnsiTheme="minorEastAsia" w:eastAsiaTheme="minorEastAsia"/>
          <w:color w:val="000000" w:themeColor="text1"/>
          <w:szCs w:val="21"/>
        </w:rPr>
        <w:t>的基础上</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每增加一年</w:t>
      </w:r>
      <w:r>
        <w:rPr>
          <w:rFonts w:cs="宋体" w:asciiTheme="minorEastAsia" w:hAnsiTheme="minorEastAsia" w:eastAsiaTheme="minorEastAsia"/>
          <w:color w:val="000000" w:themeColor="text1"/>
          <w:szCs w:val="21"/>
        </w:rPr>
        <w:t>，得</w:t>
      </w:r>
      <w:r>
        <w:rPr>
          <w:rFonts w:hint="eastAsia" w:cs="宋体" w:asciiTheme="minorEastAsia" w:hAnsiTheme="minorEastAsia" w:eastAsiaTheme="minorEastAsia"/>
          <w:color w:val="000000" w:themeColor="text1"/>
          <w:szCs w:val="21"/>
        </w:rPr>
        <w:t>1.5分</w:t>
      </w:r>
      <w:r>
        <w:rPr>
          <w:rFonts w:cs="宋体" w:asciiTheme="minorEastAsia" w:hAnsiTheme="minorEastAsia" w:eastAsiaTheme="minorEastAsia"/>
          <w:color w:val="000000" w:themeColor="text1"/>
          <w:szCs w:val="21"/>
        </w:rPr>
        <w:t>。本项</w:t>
      </w:r>
      <w:r>
        <w:rPr>
          <w:rFonts w:hint="eastAsia" w:cs="宋体" w:asciiTheme="minorEastAsia" w:hAnsiTheme="minorEastAsia" w:eastAsiaTheme="minorEastAsia"/>
          <w:color w:val="000000" w:themeColor="text1"/>
          <w:szCs w:val="21"/>
        </w:rPr>
        <w:t>最高得</w:t>
      </w:r>
      <w:r>
        <w:rPr>
          <w:rFonts w:cs="宋体" w:asciiTheme="minorEastAsia" w:hAnsiTheme="minorEastAsia" w:eastAsiaTheme="minorEastAsia"/>
          <w:color w:val="000000" w:themeColor="text1"/>
          <w:szCs w:val="21"/>
        </w:rPr>
        <w:t>3</w:t>
      </w:r>
      <w:r>
        <w:rPr>
          <w:rFonts w:hint="eastAsia" w:cs="宋体" w:asciiTheme="minorEastAsia" w:hAnsiTheme="minorEastAsia" w:eastAsiaTheme="minorEastAsia"/>
          <w:color w:val="000000" w:themeColor="text1"/>
          <w:szCs w:val="21"/>
        </w:rPr>
        <w:t>分</w:t>
      </w:r>
      <w:r>
        <w:rPr>
          <w:rFonts w:cs="宋体" w:asciiTheme="minorEastAsia" w:hAnsiTheme="minorEastAsia" w:eastAsiaTheme="minorEastAsia"/>
          <w:color w:val="000000" w:themeColor="text1"/>
          <w:szCs w:val="21"/>
        </w:rPr>
        <w:t>。</w:t>
      </w:r>
    </w:p>
    <w:p>
      <w:pPr>
        <w:spacing w:line="360" w:lineRule="exact"/>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3.</w:t>
      </w:r>
      <w:r>
        <w:rPr>
          <w:rFonts w:hint="eastAsia"/>
          <w:szCs w:val="21"/>
        </w:rPr>
        <w:t>评标委员会根据投标供应商</w:t>
      </w:r>
      <w:r>
        <w:rPr>
          <w:rFonts w:hint="eastAsia" w:cs="宋体" w:asciiTheme="minorEastAsia" w:hAnsiTheme="minorEastAsia" w:eastAsiaTheme="minorEastAsia"/>
          <w:color w:val="000000" w:themeColor="text1"/>
          <w:szCs w:val="21"/>
        </w:rPr>
        <w:t>售后服务维修响应时间承诺</w:t>
      </w:r>
      <w:r>
        <w:rPr>
          <w:rFonts w:hint="eastAsia"/>
          <w:szCs w:val="21"/>
        </w:rPr>
        <w:t>方面进行综合评审：</w:t>
      </w:r>
      <w:r>
        <w:rPr>
          <w:rFonts w:hint="eastAsia" w:cs="宋体" w:asciiTheme="minorEastAsia" w:hAnsiTheme="minorEastAsia" w:eastAsiaTheme="minorEastAsia"/>
          <w:color w:val="000000" w:themeColor="text1"/>
          <w:szCs w:val="21"/>
        </w:rPr>
        <w:t>优得3分</w:t>
      </w:r>
      <w:r>
        <w:rPr>
          <w:rFonts w:cs="宋体" w:asciiTheme="minorEastAsia" w:hAnsiTheme="minorEastAsia" w:eastAsiaTheme="minorEastAsia"/>
          <w:color w:val="000000" w:themeColor="text1"/>
          <w:szCs w:val="21"/>
        </w:rPr>
        <w:t>，良</w:t>
      </w:r>
      <w:r>
        <w:rPr>
          <w:rFonts w:hint="eastAsia" w:cs="宋体" w:asciiTheme="minorEastAsia" w:hAnsiTheme="minorEastAsia" w:eastAsiaTheme="minorEastAsia"/>
          <w:color w:val="000000" w:themeColor="text1"/>
          <w:szCs w:val="21"/>
        </w:rPr>
        <w:t>得2分</w:t>
      </w:r>
      <w:r>
        <w:rPr>
          <w:rFonts w:cs="宋体" w:asciiTheme="minorEastAsia" w:hAnsiTheme="minorEastAsia" w:eastAsiaTheme="minorEastAsia"/>
          <w:color w:val="000000" w:themeColor="text1"/>
          <w:szCs w:val="21"/>
        </w:rPr>
        <w:t>，一般得</w:t>
      </w:r>
      <w:r>
        <w:rPr>
          <w:rFonts w:hint="eastAsia" w:cs="宋体" w:asciiTheme="minorEastAsia" w:hAnsiTheme="minorEastAsia" w:eastAsiaTheme="minorEastAsia"/>
          <w:color w:val="000000" w:themeColor="text1"/>
          <w:szCs w:val="21"/>
        </w:rPr>
        <w:t>1分。</w:t>
      </w:r>
    </w:p>
    <w:p>
      <w:pPr>
        <w:spacing w:line="360" w:lineRule="exact"/>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4.</w:t>
      </w:r>
      <w:r>
        <w:rPr>
          <w:rFonts w:hint="eastAsia"/>
          <w:szCs w:val="21"/>
        </w:rPr>
        <w:t>评标委员会根据投标供应商</w:t>
      </w:r>
      <w:r>
        <w:rPr>
          <w:rFonts w:hint="eastAsia" w:ascii="宋体" w:hAnsi="宋体"/>
          <w:bCs/>
          <w:szCs w:val="21"/>
          <w:lang w:eastAsia="zh-CN"/>
        </w:rPr>
        <w:t>采购</w:t>
      </w:r>
      <w:r>
        <w:rPr>
          <w:rFonts w:hint="eastAsia"/>
          <w:szCs w:val="21"/>
        </w:rPr>
        <w:t>文件中是否</w:t>
      </w:r>
      <w:r>
        <w:rPr>
          <w:rFonts w:asciiTheme="minorEastAsia" w:hAnsiTheme="minorEastAsia" w:eastAsiaTheme="minorEastAsia"/>
          <w:color w:val="000000" w:themeColor="text1"/>
          <w:szCs w:val="21"/>
        </w:rPr>
        <w:t>提供</w:t>
      </w:r>
      <w:r>
        <w:rPr>
          <w:rFonts w:hint="eastAsia" w:asciiTheme="minorEastAsia" w:hAnsiTheme="minorEastAsia" w:eastAsiaTheme="minorEastAsia"/>
          <w:color w:val="000000" w:themeColor="text1"/>
          <w:szCs w:val="21"/>
          <w:lang w:eastAsia="zh-CN"/>
        </w:rPr>
        <w:t>采购</w:t>
      </w:r>
      <w:r>
        <w:rPr>
          <w:rFonts w:hint="eastAsia" w:asciiTheme="minorEastAsia" w:hAnsiTheme="minorEastAsia" w:eastAsiaTheme="minorEastAsia"/>
          <w:color w:val="000000" w:themeColor="text1"/>
          <w:szCs w:val="21"/>
        </w:rPr>
        <w:t>文件</w:t>
      </w:r>
      <w:r>
        <w:rPr>
          <w:rFonts w:asciiTheme="minorEastAsia" w:hAnsiTheme="minorEastAsia" w:eastAsiaTheme="minorEastAsia"/>
          <w:color w:val="000000" w:themeColor="text1"/>
          <w:szCs w:val="21"/>
        </w:rPr>
        <w:t>要求范围以外</w:t>
      </w:r>
      <w:r>
        <w:rPr>
          <w:rFonts w:hint="eastAsia" w:asciiTheme="minorEastAsia" w:hAnsiTheme="minorEastAsia" w:eastAsiaTheme="minorEastAsia"/>
          <w:color w:val="000000" w:themeColor="text1"/>
          <w:szCs w:val="21"/>
        </w:rPr>
        <w:t>的</w:t>
      </w:r>
      <w:r>
        <w:rPr>
          <w:rFonts w:asciiTheme="minorEastAsia" w:hAnsiTheme="minorEastAsia" w:eastAsiaTheme="minorEastAsia"/>
          <w:color w:val="000000" w:themeColor="text1"/>
          <w:szCs w:val="21"/>
        </w:rPr>
        <w:t>，具体的、实在的优惠措施</w:t>
      </w:r>
      <w:r>
        <w:rPr>
          <w:rFonts w:hint="eastAsia"/>
          <w:szCs w:val="21"/>
        </w:rPr>
        <w:t>方面进行综合评审：</w:t>
      </w:r>
      <w:r>
        <w:rPr>
          <w:rFonts w:hint="eastAsia" w:cs="宋体" w:asciiTheme="minorEastAsia" w:hAnsiTheme="minorEastAsia" w:eastAsiaTheme="minorEastAsia"/>
          <w:color w:val="000000" w:themeColor="text1"/>
          <w:szCs w:val="21"/>
        </w:rPr>
        <w:t>优得3分</w:t>
      </w:r>
      <w:r>
        <w:rPr>
          <w:rFonts w:cs="宋体" w:asciiTheme="minorEastAsia" w:hAnsiTheme="minorEastAsia" w:eastAsiaTheme="minorEastAsia"/>
          <w:color w:val="000000" w:themeColor="text1"/>
          <w:szCs w:val="21"/>
        </w:rPr>
        <w:t>，良</w:t>
      </w:r>
      <w:r>
        <w:rPr>
          <w:rFonts w:hint="eastAsia" w:cs="宋体" w:asciiTheme="minorEastAsia" w:hAnsiTheme="minorEastAsia" w:eastAsiaTheme="minorEastAsia"/>
          <w:color w:val="000000" w:themeColor="text1"/>
          <w:szCs w:val="21"/>
        </w:rPr>
        <w:t>得2分</w:t>
      </w:r>
      <w:r>
        <w:rPr>
          <w:rFonts w:cs="宋体" w:asciiTheme="minorEastAsia" w:hAnsiTheme="minorEastAsia" w:eastAsiaTheme="minorEastAsia"/>
          <w:color w:val="000000" w:themeColor="text1"/>
          <w:szCs w:val="21"/>
        </w:rPr>
        <w:t>，一般得</w:t>
      </w:r>
      <w:r>
        <w:rPr>
          <w:rFonts w:hint="eastAsia" w:cs="宋体" w:asciiTheme="minorEastAsia" w:hAnsiTheme="minorEastAsia" w:eastAsiaTheme="minorEastAsia"/>
          <w:color w:val="000000" w:themeColor="text1"/>
          <w:szCs w:val="21"/>
        </w:rPr>
        <w:t>1分。</w:t>
      </w:r>
    </w:p>
    <w:p>
      <w:pPr>
        <w:pStyle w:val="20"/>
        <w:spacing w:beforeLines="0" w:afterLines="0" w:line="360" w:lineRule="exact"/>
      </w:pPr>
    </w:p>
    <w:p>
      <w:pPr>
        <w:tabs>
          <w:tab w:val="left" w:pos="5940"/>
        </w:tabs>
        <w:snapToGrid w:val="0"/>
        <w:spacing w:line="360" w:lineRule="exact"/>
        <w:ind w:firstLine="422" w:firstLineChars="200"/>
        <w:jc w:val="left"/>
        <w:rPr>
          <w:rFonts w:ascii="宋体" w:hAnsi="宋体"/>
          <w:bCs/>
          <w:szCs w:val="21"/>
        </w:rPr>
      </w:pPr>
      <w:r>
        <w:rPr>
          <w:rFonts w:hint="eastAsia" w:ascii="宋体" w:hAnsi="宋体"/>
          <w:b/>
          <w:szCs w:val="21"/>
        </w:rPr>
        <w:t>注：</w:t>
      </w:r>
      <w:r>
        <w:rPr>
          <w:rFonts w:hint="eastAsia" w:ascii="宋体" w:hAnsi="宋体"/>
          <w:bCs/>
          <w:szCs w:val="21"/>
        </w:rPr>
        <w:t xml:space="preserve"> </w:t>
      </w:r>
    </w:p>
    <w:p>
      <w:pPr>
        <w:tabs>
          <w:tab w:val="left" w:pos="5940"/>
        </w:tabs>
        <w:snapToGrid w:val="0"/>
        <w:spacing w:line="360" w:lineRule="exact"/>
        <w:ind w:firstLine="420" w:firstLineChars="200"/>
        <w:jc w:val="left"/>
        <w:rPr>
          <w:rFonts w:ascii="宋体" w:hAnsi="宋体"/>
          <w:bCs/>
          <w:szCs w:val="21"/>
        </w:rPr>
      </w:pPr>
      <w:r>
        <w:rPr>
          <w:rFonts w:hint="eastAsia" w:ascii="宋体" w:hAnsi="宋体"/>
          <w:bCs/>
          <w:szCs w:val="21"/>
        </w:rPr>
        <w:t>1.评分细则中要求提供的证明文件及资料等在响应文件中提供复印件并加盖公章，要求“原件或公证件核查”的必须将原件或公证件携带至开标现场核查，否则不得分。</w:t>
      </w:r>
    </w:p>
    <w:p>
      <w:r>
        <w:rPr>
          <w:rFonts w:hint="eastAsia" w:ascii="宋体" w:hAnsi="宋体"/>
          <w:bCs/>
          <w:szCs w:val="21"/>
        </w:rPr>
        <w:t>3.为便于评分，请供应商按评分表样式，逐条列出证明材料所在页码，格式自定</w:t>
      </w:r>
    </w:p>
    <w:p/>
    <w:p/>
    <w:p/>
    <w:p>
      <w:pPr>
        <w:jc w:val="both"/>
        <w:rPr>
          <w:rFonts w:hint="eastAsia" w:ascii="宋体" w:hAnsi="宋体" w:cs="宋体"/>
          <w:b/>
          <w:sz w:val="30"/>
          <w:szCs w:val="30"/>
        </w:rPr>
      </w:pPr>
    </w:p>
    <w:p>
      <w:pPr>
        <w:jc w:val="both"/>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pStyle w:val="2"/>
        <w:rPr>
          <w:rFonts w:hint="eastAsia" w:ascii="宋体" w:hAnsi="宋体" w:cs="宋体"/>
          <w:b/>
          <w:sz w:val="30"/>
          <w:szCs w:val="30"/>
        </w:rPr>
      </w:pPr>
    </w:p>
    <w:p>
      <w:pPr>
        <w:jc w:val="center"/>
        <w:rPr>
          <w:rFonts w:ascii="宋体" w:hAnsi="宋体" w:cs="宋体"/>
          <w:b/>
          <w:sz w:val="30"/>
          <w:szCs w:val="30"/>
        </w:rPr>
      </w:pPr>
      <w:r>
        <w:rPr>
          <w:rFonts w:hint="eastAsia" w:ascii="宋体" w:hAnsi="宋体" w:cs="宋体"/>
          <w:b/>
          <w:sz w:val="30"/>
          <w:szCs w:val="30"/>
        </w:rPr>
        <w:t>第六章  附    件</w:t>
      </w:r>
    </w:p>
    <w:p>
      <w:pPr>
        <w:pStyle w:val="15"/>
        <w:spacing w:line="360" w:lineRule="exact"/>
        <w:rPr>
          <w:rFonts w:cs="宋体"/>
          <w:b/>
          <w:sz w:val="28"/>
          <w:szCs w:val="28"/>
        </w:rPr>
      </w:pPr>
    </w:p>
    <w:p>
      <w:pPr>
        <w:adjustRightInd w:val="0"/>
        <w:spacing w:line="360" w:lineRule="auto"/>
        <w:contextualSpacing/>
        <w:jc w:val="left"/>
        <w:rPr>
          <w:b/>
          <w:bCs/>
        </w:rPr>
      </w:pPr>
      <w:r>
        <w:rPr>
          <w:rFonts w:hint="eastAsia"/>
          <w:b/>
          <w:bCs/>
        </w:rPr>
        <w:t>格式</w:t>
      </w:r>
      <w:r>
        <w:rPr>
          <w:rFonts w:hint="eastAsia"/>
          <w:b/>
          <w:bCs/>
          <w:lang w:val="en-US" w:eastAsia="zh-CN"/>
        </w:rPr>
        <w:t>1</w:t>
      </w:r>
      <w:r>
        <w:rPr>
          <w:rFonts w:hint="eastAsia"/>
          <w:b/>
          <w:bCs/>
        </w:rPr>
        <w:t>：</w:t>
      </w:r>
    </w:p>
    <w:p>
      <w:pPr>
        <w:autoSpaceDE w:val="0"/>
        <w:autoSpaceDN w:val="0"/>
        <w:adjustRightInd w:val="0"/>
        <w:spacing w:line="360" w:lineRule="auto"/>
        <w:contextualSpacing/>
        <w:jc w:val="center"/>
        <w:rPr>
          <w:rFonts w:hint="eastAsia" w:ascii="黑体" w:eastAsia="黑体"/>
          <w:b/>
          <w:sz w:val="32"/>
          <w:szCs w:val="32"/>
        </w:rPr>
      </w:pPr>
      <w:r>
        <w:rPr>
          <w:rFonts w:hint="eastAsia" w:ascii="黑体" w:eastAsia="黑体"/>
          <w:b/>
          <w:sz w:val="32"/>
          <w:szCs w:val="32"/>
          <w:lang w:val="zh-CN"/>
        </w:rPr>
        <w:t>谈判承诺函</w:t>
      </w:r>
    </w:p>
    <w:p>
      <w:pPr>
        <w:autoSpaceDE w:val="0"/>
        <w:autoSpaceDN w:val="0"/>
        <w:adjustRightInd w:val="0"/>
        <w:spacing w:line="380" w:lineRule="exact"/>
        <w:contextualSpacing/>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contextualSpacing/>
        <w:rPr>
          <w:rFonts w:hint="eastAsia"/>
        </w:rPr>
      </w:pPr>
      <w:r>
        <w:rPr>
          <w:lang w:val="zh-CN"/>
        </w:rPr>
        <w:t xml:space="preserve">我方收到贵公司 </w:t>
      </w:r>
      <w:r>
        <w:rPr>
          <w:u w:val="single"/>
          <w:lang w:val="zh-CN"/>
        </w:rPr>
        <w:t xml:space="preserve">       </w:t>
      </w:r>
      <w:r>
        <w:rPr>
          <w:rFonts w:hint="eastAsia"/>
          <w:u w:val="single"/>
          <w:lang w:val="zh-CN"/>
        </w:rPr>
        <w:t xml:space="preserve">                             </w:t>
      </w:r>
      <w:r>
        <w:rPr>
          <w:u w:val="single"/>
          <w:lang w:val="zh-CN"/>
        </w:rPr>
        <w:t xml:space="preserve">    </w:t>
      </w:r>
      <w:r>
        <w:rPr>
          <w:lang w:val="zh-CN"/>
        </w:rPr>
        <w:t>号</w:t>
      </w:r>
      <w:r>
        <w:rPr>
          <w:rFonts w:hint="eastAsia"/>
          <w:lang w:val="zh-CN"/>
        </w:rPr>
        <w:t>采购</w:t>
      </w:r>
      <w:r>
        <w:rPr>
          <w:lang w:val="zh-CN"/>
        </w:rPr>
        <w:t>文件，经仔细阅读和研究，我方决定参加</w:t>
      </w:r>
      <w:r>
        <w:rPr>
          <w:rFonts w:hint="eastAsia"/>
          <w:lang w:val="zh-CN"/>
        </w:rPr>
        <w:t>谈判</w:t>
      </w:r>
      <w:r>
        <w:rPr>
          <w:lang w:val="zh-CN"/>
        </w:rPr>
        <w:t>。</w:t>
      </w:r>
      <w:r>
        <w:rPr>
          <w:rFonts w:hint="eastAsia"/>
          <w:lang w:val="zh-CN"/>
        </w:rPr>
        <w:t>并向贵公司承诺：</w:t>
      </w:r>
    </w:p>
    <w:p>
      <w:pPr>
        <w:autoSpaceDE w:val="0"/>
        <w:autoSpaceDN w:val="0"/>
        <w:adjustRightInd w:val="0"/>
        <w:spacing w:line="380" w:lineRule="exact"/>
        <w:ind w:firstLine="412" w:firstLineChars="200"/>
        <w:contextualSpacing/>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23"/>
        <w:spacing w:line="380" w:lineRule="exact"/>
        <w:ind w:firstLine="420" w:firstLineChars="200"/>
        <w:contextualSpacing/>
        <w:rPr>
          <w:rFonts w:hint="eastAsia"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谈判响应文件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谈判采购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23"/>
        <w:spacing w:line="380" w:lineRule="exact"/>
        <w:ind w:firstLine="420" w:firstLineChars="200"/>
        <w:contextualSpacing/>
        <w:rPr>
          <w:rFonts w:ascii="Times New Roman" w:hAnsi="Times New Roman" w:eastAsia="宋体"/>
          <w:kern w:val="2"/>
          <w:sz w:val="21"/>
          <w:szCs w:val="24"/>
          <w:lang w:val="zh-CN"/>
        </w:rPr>
      </w:pPr>
      <w:r>
        <w:rPr>
          <w:rFonts w:hint="eastAsia" w:ascii="Times New Roman" w:hAnsi="Times New Roman" w:eastAsia="宋体"/>
          <w:kern w:val="2"/>
          <w:sz w:val="21"/>
          <w:szCs w:val="24"/>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谈判采购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我方谈判响应文件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23"/>
        <w:spacing w:line="380" w:lineRule="exact"/>
        <w:ind w:firstLine="420" w:firstLineChars="200"/>
        <w:contextualSpacing/>
        <w:rPr>
          <w:rFonts w:hint="eastAsia" w:ascii="Times New Roman" w:hAnsi="Times New Roman" w:eastAsia="宋体"/>
          <w:kern w:val="2"/>
          <w:sz w:val="21"/>
          <w:szCs w:val="24"/>
          <w:lang w:val="zh-CN"/>
        </w:rPr>
      </w:pPr>
      <w:r>
        <w:rPr>
          <w:rFonts w:hint="eastAsia" w:ascii="Times New Roman" w:hAnsi="Times New Roman" w:eastAsia="宋体"/>
          <w:kern w:val="2"/>
          <w:sz w:val="21"/>
          <w:szCs w:val="24"/>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23"/>
        <w:spacing w:line="380" w:lineRule="exact"/>
        <w:ind w:firstLine="420" w:firstLineChars="200"/>
        <w:contextualSpacing/>
        <w:rPr>
          <w:rFonts w:ascii="Times New Roman" w:hAnsi="Times New Roman" w:eastAsia="宋体"/>
          <w:kern w:val="2"/>
          <w:sz w:val="21"/>
          <w:szCs w:val="24"/>
          <w:lang w:val="zh-CN"/>
        </w:rPr>
      </w:pPr>
      <w:r>
        <w:rPr>
          <w:rFonts w:hint="eastAsia" w:ascii="Times New Roman" w:hAnsi="Times New Roman" w:eastAsia="宋体"/>
          <w:kern w:val="2"/>
          <w:sz w:val="21"/>
          <w:szCs w:val="24"/>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23"/>
        <w:spacing w:line="380" w:lineRule="exact"/>
        <w:ind w:firstLine="420" w:firstLineChars="200"/>
        <w:contextualSpacing/>
        <w:rPr>
          <w:rFonts w:ascii="Times New Roman" w:hAnsi="Times New Roman" w:eastAsia="宋体"/>
          <w:kern w:val="2"/>
          <w:sz w:val="21"/>
          <w:szCs w:val="24"/>
          <w:lang w:val="zh-CN"/>
        </w:rPr>
      </w:pPr>
      <w:r>
        <w:rPr>
          <w:rFonts w:hint="eastAsia" w:ascii="Times New Roman" w:hAnsi="Times New Roman" w:eastAsia="宋体"/>
          <w:kern w:val="2"/>
          <w:sz w:val="21"/>
          <w:szCs w:val="24"/>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我方的响应文件在谈判</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谈判响应文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23"/>
        <w:spacing w:line="400" w:lineRule="exact"/>
        <w:ind w:firstLine="420" w:firstLineChars="200"/>
        <w:contextualSpacing/>
        <w:rPr>
          <w:rFonts w:hint="eastAsia" w:ascii="Times New Roman" w:hAnsi="Times New Roman" w:eastAsia="宋体"/>
          <w:kern w:val="2"/>
          <w:sz w:val="21"/>
          <w:szCs w:val="24"/>
          <w:lang w:val="zh-CN"/>
        </w:rPr>
      </w:pPr>
      <w:r>
        <w:rPr>
          <w:rFonts w:hint="eastAsia" w:ascii="Times New Roman" w:hAnsi="Times New Roman" w:eastAsia="宋体"/>
          <w:kern w:val="2"/>
          <w:sz w:val="21"/>
          <w:szCs w:val="24"/>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23"/>
        <w:spacing w:line="380" w:lineRule="exact"/>
        <w:ind w:firstLine="420" w:firstLineChars="200"/>
        <w:contextualSpacing/>
        <w:rPr>
          <w:rFonts w:ascii="Times New Roman" w:hAnsi="Times New Roman" w:eastAsia="宋体"/>
          <w:kern w:val="2"/>
          <w:sz w:val="21"/>
          <w:szCs w:val="24"/>
          <w:lang w:val="zh-CN"/>
        </w:rPr>
      </w:pPr>
      <w:r>
        <w:rPr>
          <w:rFonts w:hint="eastAsia" w:ascii="Times New Roman" w:hAnsi="Times New Roman" w:eastAsia="宋体"/>
          <w:kern w:val="2"/>
          <w:sz w:val="21"/>
          <w:szCs w:val="24"/>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23"/>
        <w:spacing w:line="400" w:lineRule="exact"/>
        <w:ind w:firstLine="420" w:firstLineChars="200"/>
        <w:contextualSpacing/>
        <w:rPr>
          <w:rFonts w:ascii="Times New Roman" w:hAnsi="Times New Roman" w:eastAsia="宋体"/>
          <w:sz w:val="21"/>
        </w:rPr>
      </w:pPr>
      <w:r>
        <w:rPr>
          <w:rFonts w:hint="eastAsia" w:ascii="Times New Roman" w:hAnsi="Times New Roman" w:eastAsia="宋体"/>
          <w:sz w:val="21"/>
        </w:rPr>
        <w:t>9</w:t>
      </w:r>
      <w:r>
        <w:rPr>
          <w:rFonts w:ascii="Times New Roman" w:hAnsi="Times New Roman" w:eastAsia="宋体"/>
          <w:sz w:val="21"/>
        </w:rPr>
        <w:t>、与本</w:t>
      </w:r>
      <w:r>
        <w:rPr>
          <w:rFonts w:hint="eastAsia" w:ascii="Times New Roman" w:hAnsi="Times New Roman" w:eastAsia="宋体"/>
          <w:sz w:val="21"/>
        </w:rPr>
        <w:t>谈判</w:t>
      </w:r>
      <w:r>
        <w:rPr>
          <w:rFonts w:ascii="Times New Roman" w:hAnsi="Times New Roman" w:eastAsia="宋体"/>
          <w:sz w:val="21"/>
        </w:rPr>
        <w:t>有关的通讯地址：</w:t>
      </w:r>
    </w:p>
    <w:p>
      <w:pPr>
        <w:pStyle w:val="23"/>
        <w:spacing w:line="380" w:lineRule="exact"/>
        <w:ind w:firstLine="420" w:firstLineChars="200"/>
        <w:contextualSpacing/>
        <w:rPr>
          <w:rFonts w:ascii="Times New Roman" w:hAnsi="Times New Roman" w:eastAsia="宋体"/>
          <w:sz w:val="21"/>
          <w:u w:val="single"/>
        </w:rPr>
      </w:pPr>
      <w:r>
        <w:rPr>
          <w:rFonts w:ascii="Times New Roman" w:hAnsi="宋体" w:eastAsia="宋体"/>
          <w:sz w:val="21"/>
        </w:rPr>
        <w:t>单</w:t>
      </w:r>
      <w:r>
        <w:rPr>
          <w:rFonts w:hint="eastAsia" w:ascii="Times New Roman" w:hAnsi="宋体" w:eastAsia="宋体"/>
          <w:sz w:val="21"/>
        </w:rPr>
        <w:t xml:space="preserve">    </w:t>
      </w:r>
      <w:r>
        <w:rPr>
          <w:rFonts w:ascii="Times New Roman" w:hAnsi="宋体" w:eastAsia="宋体"/>
          <w:sz w:val="21"/>
        </w:rPr>
        <w:t>位：</w:t>
      </w:r>
      <w:r>
        <w:rPr>
          <w:rFonts w:ascii="Times New Roman" w:hAnsi="Times New Roman" w:eastAsia="宋体"/>
          <w:sz w:val="21"/>
        </w:rPr>
        <w:t xml:space="preserve"> </w:t>
      </w:r>
      <w:r>
        <w:rPr>
          <w:rFonts w:ascii="Times New Roman" w:hAnsi="Times New Roman" w:eastAsia="宋体"/>
          <w:sz w:val="21"/>
          <w:u w:val="single"/>
        </w:rPr>
        <w:t xml:space="preserve">                                </w:t>
      </w:r>
      <w:r>
        <w:rPr>
          <w:rFonts w:ascii="Times New Roman" w:hAnsi="宋体" w:eastAsia="宋体"/>
          <w:sz w:val="21"/>
        </w:rPr>
        <w:t>联</w:t>
      </w:r>
      <w:r>
        <w:rPr>
          <w:rFonts w:hint="eastAsia" w:ascii="Times New Roman" w:hAnsi="宋体" w:eastAsia="宋体"/>
          <w:sz w:val="21"/>
        </w:rPr>
        <w:t xml:space="preserve"> </w:t>
      </w:r>
      <w:r>
        <w:rPr>
          <w:rFonts w:ascii="Times New Roman" w:hAnsi="宋体" w:eastAsia="宋体"/>
          <w:sz w:val="21"/>
        </w:rPr>
        <w:t>系</w:t>
      </w:r>
      <w:r>
        <w:rPr>
          <w:rFonts w:hint="eastAsia" w:ascii="Times New Roman" w:hAnsi="宋体" w:eastAsia="宋体"/>
          <w:sz w:val="21"/>
        </w:rPr>
        <w:t xml:space="preserve"> </w:t>
      </w:r>
      <w:r>
        <w:rPr>
          <w:rFonts w:ascii="Times New Roman" w:hAnsi="宋体" w:eastAsia="宋体"/>
          <w:sz w:val="21"/>
        </w:rPr>
        <w:t>人：</w:t>
      </w:r>
      <w:r>
        <w:rPr>
          <w:rFonts w:ascii="Times New Roman" w:hAnsi="Times New Roman" w:eastAsia="宋体"/>
          <w:sz w:val="21"/>
          <w:u w:val="single"/>
        </w:rPr>
        <w:t xml:space="preserve">                   </w:t>
      </w:r>
    </w:p>
    <w:p>
      <w:pPr>
        <w:pStyle w:val="23"/>
        <w:spacing w:line="380" w:lineRule="exact"/>
        <w:ind w:firstLine="420" w:firstLineChars="200"/>
        <w:contextualSpacing/>
        <w:rPr>
          <w:rFonts w:ascii="Times New Roman" w:hAnsi="Times New Roman" w:eastAsia="宋体"/>
          <w:sz w:val="21"/>
          <w:u w:val="single"/>
        </w:rPr>
      </w:pPr>
      <w:r>
        <w:rPr>
          <w:rFonts w:ascii="Times New Roman" w:hAnsi="宋体" w:eastAsia="宋体"/>
          <w:sz w:val="21"/>
        </w:rPr>
        <w:t>地</w:t>
      </w:r>
      <w:r>
        <w:rPr>
          <w:rFonts w:hint="eastAsia" w:ascii="Times New Roman" w:hAnsi="宋体" w:eastAsia="宋体"/>
          <w:sz w:val="21"/>
        </w:rPr>
        <w:t xml:space="preserve">    </w:t>
      </w:r>
      <w:r>
        <w:rPr>
          <w:rFonts w:ascii="Times New Roman" w:hAnsi="宋体" w:eastAsia="宋体"/>
          <w:sz w:val="21"/>
        </w:rPr>
        <w:t>址：</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邮政编码：</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p>
    <w:p>
      <w:pPr>
        <w:pStyle w:val="23"/>
        <w:spacing w:line="380" w:lineRule="exact"/>
        <w:ind w:firstLine="420" w:firstLineChars="200"/>
        <w:contextualSpacing/>
        <w:rPr>
          <w:rFonts w:ascii="Times New Roman" w:hAnsi="Times New Roman" w:eastAsia="宋体"/>
          <w:sz w:val="21"/>
          <w:u w:val="single"/>
        </w:rPr>
      </w:pPr>
      <w:r>
        <w:rPr>
          <w:rFonts w:ascii="Times New Roman" w:hAnsi="宋体" w:eastAsia="宋体"/>
          <w:sz w:val="21"/>
        </w:rPr>
        <w:t>联系电话：</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传</w:t>
      </w:r>
      <w:r>
        <w:rPr>
          <w:rFonts w:hint="eastAsia" w:ascii="Times New Roman" w:hAnsi="宋体" w:eastAsia="宋体"/>
          <w:sz w:val="21"/>
        </w:rPr>
        <w:t xml:space="preserve">    </w:t>
      </w:r>
      <w:r>
        <w:rPr>
          <w:rFonts w:ascii="Times New Roman" w:hAnsi="宋体" w:eastAsia="宋体"/>
          <w:sz w:val="21"/>
        </w:rPr>
        <w:t>真：</w:t>
      </w:r>
      <w:r>
        <w:rPr>
          <w:rFonts w:ascii="Times New Roman" w:hAnsi="Times New Roman" w:eastAsia="宋体"/>
          <w:sz w:val="21"/>
          <w:u w:val="single"/>
        </w:rPr>
        <w:t xml:space="preserve">                   </w:t>
      </w:r>
    </w:p>
    <w:p>
      <w:pPr>
        <w:pStyle w:val="23"/>
        <w:spacing w:line="380" w:lineRule="exact"/>
        <w:ind w:firstLine="425"/>
        <w:contextualSpacing/>
        <w:rPr>
          <w:rFonts w:ascii="Times New Roman" w:hAnsi="Times New Roman" w:eastAsia="宋体"/>
          <w:sz w:val="21"/>
        </w:rPr>
      </w:pPr>
      <w:r>
        <w:rPr>
          <w:rFonts w:hint="eastAsia" w:ascii="Times New Roman" w:hAnsi="宋体" w:eastAsia="宋体"/>
          <w:sz w:val="21"/>
        </w:rPr>
        <w:t>谈判响应单位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adjustRightInd w:val="0"/>
        <w:spacing w:line="380" w:lineRule="exact"/>
        <w:ind w:firstLine="420" w:firstLineChars="200"/>
        <w:contextualSpacing/>
        <w:rPr>
          <w:rFonts w:hint="eastAsia" w:hAnsi="宋体"/>
        </w:rPr>
      </w:pPr>
      <w:r>
        <w:rPr>
          <w:rFonts w:hAnsi="宋体"/>
        </w:rPr>
        <w:t>单位法定代表人或代理人：（签字或</w:t>
      </w:r>
      <w:r>
        <w:rPr>
          <w:rFonts w:hint="eastAsia" w:hAnsi="宋体"/>
        </w:rPr>
        <w:t>签章</w:t>
      </w:r>
      <w:r>
        <w:rPr>
          <w:rFonts w:hAnsi="宋体"/>
        </w:rPr>
        <w:t>）</w:t>
      </w:r>
      <w:r>
        <w:rPr>
          <w:rFonts w:hint="eastAsia" w:hAnsi="宋体"/>
        </w:rPr>
        <w:t xml:space="preserve">               </w:t>
      </w:r>
    </w:p>
    <w:p>
      <w:r>
        <w:rPr>
          <w:rFonts w:hAnsi="宋体"/>
        </w:rPr>
        <w:t>年     月     日</w:t>
      </w:r>
      <w:r>
        <w:rPr>
          <w:rFonts w:eastAsia="黑体"/>
          <w:b/>
          <w:bCs/>
          <w:spacing w:val="20"/>
        </w:rPr>
        <w:br w:type="page"/>
      </w:r>
    </w:p>
    <w:p>
      <w:pPr>
        <w:adjustRightInd w:val="0"/>
        <w:spacing w:line="380" w:lineRule="exact"/>
        <w:ind w:firstLine="422" w:firstLineChars="200"/>
        <w:contextualSpacing/>
        <w:rPr>
          <w:rFonts w:hint="eastAsia"/>
          <w:b/>
          <w:bCs/>
        </w:rPr>
      </w:pPr>
      <w:r>
        <w:rPr>
          <w:rFonts w:hint="eastAsia"/>
          <w:b/>
          <w:bCs/>
        </w:rPr>
        <w:t>格式</w:t>
      </w:r>
      <w:r>
        <w:rPr>
          <w:rFonts w:hint="eastAsia"/>
          <w:b/>
          <w:bCs/>
          <w:lang w:val="en-US" w:eastAsia="zh-CN"/>
        </w:rPr>
        <w:t>2</w:t>
      </w:r>
      <w:r>
        <w:rPr>
          <w:rFonts w:hint="eastAsia"/>
          <w:b/>
          <w:bCs/>
        </w:rPr>
        <w:t>：</w:t>
      </w:r>
    </w:p>
    <w:p>
      <w:pPr>
        <w:adjustRightInd w:val="0"/>
        <w:spacing w:line="360" w:lineRule="auto"/>
        <w:contextualSpacing/>
        <w:jc w:val="center"/>
        <w:rPr>
          <w:rFonts w:eastAsia="黑体"/>
          <w:b/>
          <w:bCs/>
          <w:sz w:val="32"/>
          <w:szCs w:val="32"/>
        </w:rPr>
      </w:pPr>
      <w:r>
        <w:rPr>
          <w:rFonts w:hint="eastAsia" w:eastAsia="黑体"/>
          <w:b/>
          <w:bCs/>
          <w:sz w:val="32"/>
          <w:szCs w:val="32"/>
        </w:rPr>
        <w:t>关于资格的声明函</w:t>
      </w:r>
    </w:p>
    <w:p>
      <w:pPr>
        <w:adjustRightInd w:val="0"/>
        <w:spacing w:line="360" w:lineRule="auto"/>
        <w:contextualSpacing/>
        <w:rPr>
          <w:rFonts w:hint="eastAsia"/>
        </w:rPr>
      </w:pPr>
    </w:p>
    <w:p>
      <w:pPr>
        <w:adjustRightInd w:val="0"/>
        <w:spacing w:line="360" w:lineRule="auto"/>
        <w:contextualSpacing/>
      </w:pPr>
      <w:r>
        <w:rPr>
          <w:rFonts w:hint="eastAsia"/>
        </w:rPr>
        <w:t>采购编号：</w:t>
      </w:r>
    </w:p>
    <w:p>
      <w:pPr>
        <w:adjustRightInd w:val="0"/>
        <w:spacing w:line="360" w:lineRule="auto"/>
        <w:contextualSpacing/>
      </w:pPr>
      <w:r>
        <w:rPr>
          <w:rFonts w:hint="eastAsia"/>
        </w:rPr>
        <w:t>日</w:t>
      </w:r>
      <w:r>
        <w:t xml:space="preserve">    </w:t>
      </w:r>
      <w:r>
        <w:rPr>
          <w:rFonts w:hint="eastAsia"/>
        </w:rPr>
        <w:t>期：</w:t>
      </w:r>
    </w:p>
    <w:p>
      <w:pPr>
        <w:adjustRightInd w:val="0"/>
        <w:spacing w:line="360" w:lineRule="auto"/>
        <w:contextualSpacing/>
      </w:pPr>
      <w:r>
        <w:rPr>
          <w:rFonts w:hint="eastAsia"/>
          <w:lang w:eastAsia="zh-CN"/>
        </w:rPr>
        <w:t>苏州高新区人民医院</w:t>
      </w:r>
      <w:r>
        <w:rPr>
          <w:rFonts w:hint="eastAsia"/>
        </w:rPr>
        <w:t>：</w:t>
      </w:r>
    </w:p>
    <w:p>
      <w:pPr>
        <w:adjustRightInd w:val="0"/>
        <w:spacing w:line="360" w:lineRule="auto"/>
        <w:ind w:firstLine="420" w:firstLineChars="200"/>
        <w:contextualSpacing/>
        <w:rPr>
          <w:rFonts w:hint="eastAsia"/>
        </w:rPr>
      </w:pPr>
      <w:r>
        <w:rPr>
          <w:rFonts w:hint="eastAsia"/>
        </w:rPr>
        <w:t>我公司愿针对本次</w:t>
      </w:r>
      <w:r>
        <w:rPr>
          <w:u w:val="single"/>
        </w:rPr>
        <w:t xml:space="preserve">                    </w:t>
      </w:r>
      <w:r>
        <w:rPr>
          <w:rFonts w:hint="eastAsia"/>
        </w:rPr>
        <w:t>采购进行响应并参加谈判。谈判响应文件中所有关于谈判资格的文件，证明与陈述均是真实的、准确的。若有违背，我公司愿意承担由此而产生的一切后果。</w:t>
      </w:r>
      <w:r>
        <w:t xml:space="preserve">                                </w:t>
      </w:r>
    </w:p>
    <w:p>
      <w:pPr>
        <w:adjustRightInd w:val="0"/>
        <w:spacing w:line="360" w:lineRule="auto"/>
        <w:ind w:firstLine="420" w:firstLineChars="200"/>
        <w:contextualSpacing/>
        <w:rPr>
          <w:rFonts w:hint="eastAsia"/>
        </w:rPr>
      </w:pPr>
    </w:p>
    <w:p>
      <w:pPr>
        <w:adjustRightInd w:val="0"/>
        <w:spacing w:line="360" w:lineRule="auto"/>
        <w:ind w:firstLine="420" w:firstLineChars="200"/>
        <w:contextualSpacing/>
        <w:rPr>
          <w:rFonts w:hint="eastAsia"/>
        </w:rPr>
      </w:pPr>
    </w:p>
    <w:p>
      <w:pPr>
        <w:adjustRightInd w:val="0"/>
        <w:spacing w:line="360" w:lineRule="auto"/>
        <w:ind w:firstLine="3045" w:firstLineChars="1450"/>
        <w:contextualSpacing/>
        <w:rPr>
          <w:rFonts w:hint="eastAsia" w:ascii="宋体" w:cs="宋体"/>
          <w:szCs w:val="21"/>
          <w:lang w:val="zh-CN"/>
        </w:rPr>
      </w:pPr>
      <w:r>
        <w:rPr>
          <w:rFonts w:hint="eastAsia" w:ascii="宋体" w:cs="宋体"/>
          <w:szCs w:val="21"/>
          <w:lang w:val="zh-CN"/>
        </w:rPr>
        <w:t>法定代表人或代理人：（签字或签章）</w:t>
      </w:r>
    </w:p>
    <w:p>
      <w:pPr>
        <w:adjustRightInd w:val="0"/>
        <w:spacing w:line="360" w:lineRule="auto"/>
        <w:ind w:firstLine="3045" w:firstLineChars="1450"/>
        <w:contextualSpacing/>
      </w:pPr>
      <w:r>
        <w:rPr>
          <w:rFonts w:hint="eastAsia" w:hAnsi="宋体"/>
          <w:szCs w:val="20"/>
        </w:rPr>
        <w:t>谈判响应单位：（公章）</w:t>
      </w:r>
    </w:p>
    <w:p>
      <w:pPr>
        <w:adjustRightInd w:val="0"/>
        <w:spacing w:line="360" w:lineRule="auto"/>
        <w:contextualSpacing/>
        <w:jc w:val="left"/>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contextualSpacing/>
      </w:pPr>
    </w:p>
    <w:p>
      <w:pPr>
        <w:adjustRightInd w:val="0"/>
        <w:spacing w:line="360" w:lineRule="auto"/>
        <w:contextualSpacing/>
        <w:jc w:val="left"/>
      </w:pPr>
    </w:p>
    <w:p>
      <w:pPr>
        <w:pStyle w:val="2"/>
      </w:pPr>
    </w:p>
    <w:p>
      <w:pPr>
        <w:pStyle w:val="2"/>
      </w:pPr>
    </w:p>
    <w:p>
      <w:pPr>
        <w:pStyle w:val="2"/>
      </w:pPr>
    </w:p>
    <w:p>
      <w:pPr>
        <w:adjustRightInd w:val="0"/>
        <w:spacing w:line="360" w:lineRule="auto"/>
        <w:contextualSpacing/>
        <w:jc w:val="center"/>
      </w:pPr>
    </w:p>
    <w:p>
      <w:pPr>
        <w:adjustRightInd w:val="0"/>
        <w:spacing w:line="360" w:lineRule="auto"/>
        <w:contextualSpacing/>
        <w:jc w:val="left"/>
        <w:rPr>
          <w:rFonts w:hint="eastAsia"/>
        </w:rPr>
      </w:pPr>
      <w:r>
        <w:rPr>
          <w:rFonts w:hint="eastAsia"/>
          <w:b/>
          <w:bCs/>
        </w:rPr>
        <w:t>格式</w:t>
      </w:r>
      <w:r>
        <w:rPr>
          <w:rFonts w:hint="eastAsia"/>
          <w:b/>
          <w:bCs/>
          <w:lang w:val="en-US" w:eastAsia="zh-CN"/>
        </w:rPr>
        <w:t>3</w:t>
      </w:r>
      <w:r>
        <w:rPr>
          <w:rFonts w:hint="eastAsia"/>
          <w:b/>
          <w:bCs/>
        </w:rPr>
        <w:t>：</w:t>
      </w:r>
    </w:p>
    <w:p>
      <w:pPr>
        <w:adjustRightInd w:val="0"/>
        <w:spacing w:line="360" w:lineRule="auto"/>
        <w:contextualSpacing/>
        <w:jc w:val="center"/>
        <w:rPr>
          <w:rFonts w:eastAsia="黑体"/>
          <w:b/>
          <w:bCs/>
          <w:sz w:val="32"/>
          <w:szCs w:val="32"/>
        </w:rPr>
      </w:pPr>
      <w:r>
        <w:rPr>
          <w:rFonts w:hint="eastAsia" w:eastAsia="黑体"/>
          <w:b/>
          <w:bCs/>
          <w:sz w:val="32"/>
          <w:szCs w:val="32"/>
        </w:rPr>
        <w:t>法人授权委托书</w:t>
      </w:r>
    </w:p>
    <w:p>
      <w:pPr>
        <w:adjustRightInd w:val="0"/>
        <w:spacing w:line="480" w:lineRule="auto"/>
        <w:contextualSpacing/>
        <w:rPr>
          <w:rFonts w:hint="eastAsia"/>
        </w:rPr>
      </w:pPr>
    </w:p>
    <w:p>
      <w:pPr>
        <w:autoSpaceDE w:val="0"/>
        <w:autoSpaceDN w:val="0"/>
        <w:adjustRightInd w:val="0"/>
        <w:spacing w:line="360" w:lineRule="auto"/>
        <w:ind w:firstLine="420"/>
        <w:contextualSpacing/>
        <w:rPr>
          <w:szCs w:val="21"/>
        </w:rPr>
      </w:pPr>
      <w:r>
        <w:rPr>
          <w:szCs w:val="21"/>
          <w:lang w:val="zh-CN"/>
        </w:rPr>
        <w:t xml:space="preserve">本授权委托书声明：我 </w:t>
      </w:r>
      <w:r>
        <w:rPr>
          <w:szCs w:val="21"/>
          <w:u w:val="single"/>
          <w:lang w:val="zh-CN"/>
        </w:rPr>
        <w:t xml:space="preserve">          </w:t>
      </w:r>
      <w:r>
        <w:rPr>
          <w:szCs w:val="21"/>
          <w:lang w:val="zh-CN"/>
        </w:rPr>
        <w:t>（姓名）系</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（投标人名称）的法定代表人，现授权委托</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szCs w:val="21"/>
          <w:u w:val="single"/>
          <w:lang w:val="zh-CN"/>
        </w:rPr>
        <w:t xml:space="preserve">                        </w:t>
      </w:r>
      <w:r>
        <w:rPr>
          <w:szCs w:val="21"/>
          <w:lang w:val="zh-CN"/>
        </w:rPr>
        <w:t>号</w:t>
      </w:r>
      <w:r>
        <w:rPr>
          <w:rFonts w:hint="eastAsia"/>
          <w:szCs w:val="21"/>
          <w:lang w:val="zh-CN"/>
        </w:rPr>
        <w:t>竞争性谈判采购</w:t>
      </w:r>
      <w:r>
        <w:rPr>
          <w:szCs w:val="21"/>
          <w:lang w:val="zh-CN"/>
        </w:rPr>
        <w:t>活动。代理人在开标、评标、合同谈判过程中所签署的一切文件和处理与这有关的一切事务，我均予以承认。</w:t>
      </w:r>
    </w:p>
    <w:p>
      <w:pPr>
        <w:autoSpaceDE w:val="0"/>
        <w:autoSpaceDN w:val="0"/>
        <w:adjustRightInd w:val="0"/>
        <w:spacing w:line="360" w:lineRule="auto"/>
        <w:ind w:firstLine="420"/>
        <w:contextualSpacing/>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contextualSpacing/>
        <w:rPr>
          <w:szCs w:val="21"/>
        </w:rPr>
      </w:pPr>
      <w:r>
        <w:rPr>
          <w:szCs w:val="21"/>
          <w:lang w:val="zh-CN"/>
        </w:rPr>
        <w:t>代理人无转委托权。特此委托。</w:t>
      </w:r>
    </w:p>
    <w:p>
      <w:pPr>
        <w:adjustRightInd w:val="0"/>
        <w:spacing w:line="480" w:lineRule="auto"/>
        <w:contextualSpacing/>
        <w:rPr>
          <w:rFonts w:hint="eastAsia"/>
        </w:rPr>
      </w:pPr>
    </w:p>
    <w:p>
      <w:pPr>
        <w:adjustRightInd w:val="0"/>
        <w:spacing w:line="480" w:lineRule="auto"/>
        <w:contextualSpacing/>
      </w:pPr>
      <w:r>
        <w:rPr>
          <w:rFonts w:hint="eastAsia"/>
        </w:rPr>
        <w:t>代理人（</w:t>
      </w:r>
      <w:r>
        <w:rPr>
          <w:rFonts w:hint="eastAsia"/>
          <w:bCs/>
        </w:rPr>
        <w:t>签字或签章）</w:t>
      </w:r>
      <w:r>
        <w:rPr>
          <w:rFonts w:hint="eastAsia"/>
        </w:rPr>
        <w:t>：</w:t>
      </w:r>
      <w:r>
        <w:t xml:space="preserve">           </w:t>
      </w:r>
      <w:r>
        <w:rPr>
          <w:rFonts w:hint="eastAsia"/>
        </w:rPr>
        <w:t xml:space="preserve">     法定代表人（</w:t>
      </w:r>
      <w:r>
        <w:rPr>
          <w:rFonts w:hint="eastAsia"/>
          <w:bCs/>
        </w:rPr>
        <w:t>签字或签章）</w:t>
      </w:r>
      <w:r>
        <w:rPr>
          <w:rFonts w:hint="eastAsia"/>
        </w:rPr>
        <w:t>：</w:t>
      </w:r>
    </w:p>
    <w:p>
      <w:pPr>
        <w:adjustRightInd w:val="0"/>
        <w:spacing w:line="480" w:lineRule="auto"/>
        <w:contextualSpacing/>
      </w:pPr>
      <w:r>
        <w:rPr>
          <w:rFonts w:hint="eastAsia"/>
        </w:rPr>
        <w:t>职务：</w:t>
      </w:r>
      <w:r>
        <w:t xml:space="preserve">                 </w:t>
      </w:r>
    </w:p>
    <w:p>
      <w:pPr>
        <w:adjustRightInd w:val="0"/>
        <w:spacing w:line="480" w:lineRule="auto"/>
        <w:contextualSpacing/>
      </w:pPr>
      <w:r>
        <w:rPr>
          <w:rFonts w:hint="eastAsia"/>
        </w:rPr>
        <w:t>联系电话：</w:t>
      </w:r>
      <w:r>
        <w:t xml:space="preserve">                     </w:t>
      </w:r>
      <w:r>
        <w:rPr>
          <w:rFonts w:hint="eastAsia"/>
        </w:rPr>
        <w:t xml:space="preserve">          </w:t>
      </w:r>
      <w:r>
        <w:rPr>
          <w:rFonts w:hint="eastAsia" w:hAnsi="宋体"/>
          <w:szCs w:val="20"/>
        </w:rPr>
        <w:t>谈判响应单位：（公章）</w:t>
      </w: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adjustRightInd w:val="0"/>
        <w:spacing w:line="360" w:lineRule="auto"/>
        <w:contextualSpacing/>
        <w:jc w:val="left"/>
        <w:rPr>
          <w:rFonts w:hint="eastAsia"/>
        </w:rPr>
      </w:pPr>
    </w:p>
    <w:p>
      <w:pPr>
        <w:rPr>
          <w:rFonts w:ascii="宋体" w:hAnsi="宋体" w:cs="宋体"/>
          <w:szCs w:val="21"/>
        </w:rPr>
      </w:pPr>
    </w:p>
    <w:p>
      <w:pPr>
        <w:outlineLvl w:val="1"/>
        <w:rPr>
          <w:rFonts w:ascii="宋体" w:hAnsi="宋体" w:cs="宋体"/>
          <w:b/>
          <w:color w:val="000000"/>
          <w:sz w:val="28"/>
          <w:szCs w:val="28"/>
        </w:rPr>
      </w:pPr>
      <w:r>
        <w:rPr>
          <w:rFonts w:hint="eastAsia" w:ascii="宋体" w:hAnsi="宋体" w:cs="宋体"/>
          <w:b/>
          <w:sz w:val="28"/>
          <w:szCs w:val="28"/>
        </w:rPr>
        <w:t>4</w:t>
      </w:r>
      <w:r>
        <w:rPr>
          <w:rFonts w:ascii="宋体" w:hAnsi="宋体" w:cs="宋体"/>
          <w:b/>
          <w:sz w:val="28"/>
          <w:szCs w:val="28"/>
        </w:rPr>
        <w:t>.</w:t>
      </w:r>
      <w:r>
        <w:rPr>
          <w:rFonts w:hint="eastAsia" w:ascii="宋体" w:hAnsi="宋体" w:cs="宋体"/>
          <w:b/>
          <w:color w:val="000000"/>
          <w:sz w:val="28"/>
          <w:szCs w:val="28"/>
        </w:rPr>
        <w:t>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磋商总价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质保期</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outlineLvl w:val="1"/>
        <w:rPr>
          <w:rFonts w:ascii="宋体" w:hAnsi="宋体" w:cs="宋体"/>
          <w:b/>
          <w:sz w:val="28"/>
          <w:szCs w:val="28"/>
        </w:rPr>
      </w:pPr>
      <w:r>
        <w:rPr>
          <w:rFonts w:ascii="宋体" w:hAnsi="宋体" w:cs="宋体"/>
          <w:b/>
          <w:sz w:val="28"/>
          <w:szCs w:val="28"/>
        </w:rPr>
        <w:t>5</w:t>
      </w:r>
      <w:r>
        <w:rPr>
          <w:rFonts w:hint="eastAsia" w:ascii="宋体" w:hAnsi="宋体" w:cs="宋体"/>
          <w:b/>
          <w:sz w:val="28"/>
          <w:szCs w:val="28"/>
        </w:rPr>
        <w:t>.</w:t>
      </w:r>
      <w:r>
        <w:rPr>
          <w:rFonts w:hint="eastAsia" w:ascii="宋体" w:hAnsi="宋体" w:cs="宋体"/>
          <w:color w:val="000000"/>
          <w:szCs w:val="21"/>
        </w:rPr>
        <w:t xml:space="preserve"> </w:t>
      </w:r>
      <w:r>
        <w:rPr>
          <w:rFonts w:hint="eastAsia" w:ascii="宋体" w:hAnsi="宋体" w:cs="宋体"/>
          <w:b/>
          <w:color w:val="000000"/>
          <w:sz w:val="28"/>
          <w:szCs w:val="28"/>
        </w:rPr>
        <w:t>分项报价表</w:t>
      </w:r>
    </w:p>
    <w:p>
      <w:pPr>
        <w:spacing w:line="360" w:lineRule="auto"/>
        <w:jc w:val="center"/>
        <w:rPr>
          <w:rFonts w:ascii="宋体" w:hAnsi="宋体"/>
          <w:b/>
          <w:sz w:val="28"/>
          <w:szCs w:val="28"/>
        </w:rPr>
      </w:pPr>
      <w:r>
        <w:rPr>
          <w:rFonts w:hint="eastAsia" w:ascii="宋体" w:hAnsi="宋体" w:cs="宋体"/>
          <w:b/>
          <w:color w:val="000000"/>
          <w:sz w:val="28"/>
          <w:szCs w:val="28"/>
        </w:rPr>
        <w:t>分项报价表</w:t>
      </w:r>
    </w:p>
    <w:p>
      <w:pPr>
        <w:snapToGrid w:val="0"/>
        <w:spacing w:line="360" w:lineRule="auto"/>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cs="宋体"/>
          <w:szCs w:val="21"/>
        </w:rPr>
        <w:t> </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25"/>
        <w:gridCol w:w="1320"/>
        <w:gridCol w:w="900"/>
        <w:gridCol w:w="750"/>
        <w:gridCol w:w="855"/>
        <w:gridCol w:w="119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1"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序号</w:t>
            </w:r>
          </w:p>
        </w:tc>
        <w:tc>
          <w:tcPr>
            <w:tcW w:w="1725"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产品名称</w:t>
            </w:r>
          </w:p>
        </w:tc>
        <w:tc>
          <w:tcPr>
            <w:tcW w:w="1320"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品牌/型号</w:t>
            </w:r>
          </w:p>
        </w:tc>
        <w:tc>
          <w:tcPr>
            <w:tcW w:w="900"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规格</w:t>
            </w:r>
          </w:p>
        </w:tc>
        <w:tc>
          <w:tcPr>
            <w:tcW w:w="750"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单位</w:t>
            </w:r>
          </w:p>
        </w:tc>
        <w:tc>
          <w:tcPr>
            <w:tcW w:w="855" w:type="dxa"/>
            <w:vMerge w:val="restart"/>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数量</w:t>
            </w:r>
          </w:p>
        </w:tc>
        <w:tc>
          <w:tcPr>
            <w:tcW w:w="2271" w:type="dxa"/>
            <w:gridSpan w:val="2"/>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1" w:type="dxa"/>
            <w:vMerge w:val="continue"/>
            <w:vAlign w:val="center"/>
          </w:tcPr>
          <w:p>
            <w:pPr>
              <w:widowControl/>
              <w:snapToGrid w:val="0"/>
              <w:spacing w:line="300" w:lineRule="exact"/>
              <w:jc w:val="center"/>
              <w:rPr>
                <w:rFonts w:ascii="宋体" w:hAnsi="宋体" w:cs="Arial"/>
                <w:kern w:val="0"/>
                <w:szCs w:val="21"/>
              </w:rPr>
            </w:pPr>
          </w:p>
        </w:tc>
        <w:tc>
          <w:tcPr>
            <w:tcW w:w="1725" w:type="dxa"/>
            <w:vMerge w:val="continue"/>
            <w:vAlign w:val="center"/>
          </w:tcPr>
          <w:p>
            <w:pPr>
              <w:widowControl/>
              <w:snapToGrid w:val="0"/>
              <w:spacing w:line="300" w:lineRule="exact"/>
              <w:jc w:val="center"/>
              <w:rPr>
                <w:rFonts w:ascii="宋体" w:hAnsi="宋体" w:cs="Arial"/>
                <w:kern w:val="0"/>
                <w:szCs w:val="21"/>
              </w:rPr>
            </w:pPr>
          </w:p>
        </w:tc>
        <w:tc>
          <w:tcPr>
            <w:tcW w:w="1320" w:type="dxa"/>
            <w:vMerge w:val="continue"/>
            <w:vAlign w:val="center"/>
          </w:tcPr>
          <w:p>
            <w:pPr>
              <w:widowControl/>
              <w:snapToGrid w:val="0"/>
              <w:spacing w:line="300" w:lineRule="exact"/>
              <w:jc w:val="center"/>
              <w:rPr>
                <w:rFonts w:ascii="宋体" w:hAnsi="宋体" w:cs="Arial"/>
                <w:kern w:val="0"/>
                <w:szCs w:val="21"/>
              </w:rPr>
            </w:pPr>
          </w:p>
        </w:tc>
        <w:tc>
          <w:tcPr>
            <w:tcW w:w="900" w:type="dxa"/>
            <w:vMerge w:val="continue"/>
            <w:vAlign w:val="center"/>
          </w:tcPr>
          <w:p>
            <w:pPr>
              <w:widowControl/>
              <w:snapToGrid w:val="0"/>
              <w:spacing w:line="300" w:lineRule="exact"/>
              <w:jc w:val="center"/>
              <w:rPr>
                <w:rFonts w:ascii="宋体" w:hAnsi="宋体" w:cs="Arial"/>
                <w:kern w:val="0"/>
                <w:szCs w:val="21"/>
              </w:rPr>
            </w:pPr>
          </w:p>
        </w:tc>
        <w:tc>
          <w:tcPr>
            <w:tcW w:w="750" w:type="dxa"/>
            <w:vMerge w:val="continue"/>
            <w:vAlign w:val="center"/>
          </w:tcPr>
          <w:p>
            <w:pPr>
              <w:widowControl/>
              <w:snapToGrid w:val="0"/>
              <w:spacing w:line="300" w:lineRule="exact"/>
              <w:jc w:val="center"/>
              <w:rPr>
                <w:rFonts w:ascii="宋体" w:hAnsi="宋体" w:cs="Arial"/>
                <w:kern w:val="0"/>
                <w:szCs w:val="21"/>
              </w:rPr>
            </w:pPr>
          </w:p>
        </w:tc>
        <w:tc>
          <w:tcPr>
            <w:tcW w:w="855" w:type="dxa"/>
            <w:vMerge w:val="continue"/>
            <w:vAlign w:val="center"/>
          </w:tcPr>
          <w:p>
            <w:pPr>
              <w:widowControl/>
              <w:snapToGrid w:val="0"/>
              <w:spacing w:line="300" w:lineRule="exact"/>
              <w:jc w:val="center"/>
              <w:rPr>
                <w:rFonts w:ascii="宋体" w:hAnsi="宋体" w:cs="Arial"/>
                <w:kern w:val="0"/>
                <w:szCs w:val="21"/>
              </w:rPr>
            </w:pPr>
          </w:p>
        </w:tc>
        <w:tc>
          <w:tcPr>
            <w:tcW w:w="1199"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含税单价</w:t>
            </w:r>
          </w:p>
        </w:tc>
        <w:tc>
          <w:tcPr>
            <w:tcW w:w="1072"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含税合价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1</w:t>
            </w:r>
          </w:p>
        </w:tc>
        <w:tc>
          <w:tcPr>
            <w:tcW w:w="1725" w:type="dxa"/>
            <w:vAlign w:val="center"/>
          </w:tcPr>
          <w:p>
            <w:pPr>
              <w:widowControl/>
              <w:snapToGrid w:val="0"/>
              <w:spacing w:line="300" w:lineRule="exact"/>
              <w:jc w:val="center"/>
              <w:rPr>
                <w:rFonts w:ascii="宋体" w:hAnsi="宋体" w:cs="Arial"/>
                <w:kern w:val="0"/>
                <w:szCs w:val="21"/>
              </w:rPr>
            </w:pPr>
          </w:p>
        </w:tc>
        <w:tc>
          <w:tcPr>
            <w:tcW w:w="1320" w:type="dxa"/>
            <w:vAlign w:val="center"/>
          </w:tcPr>
          <w:p>
            <w:pPr>
              <w:widowControl/>
              <w:snapToGrid w:val="0"/>
              <w:spacing w:line="300" w:lineRule="exact"/>
              <w:jc w:val="center"/>
              <w:rPr>
                <w:rFonts w:ascii="宋体" w:hAnsi="宋体" w:cs="Arial"/>
                <w:kern w:val="0"/>
                <w:szCs w:val="21"/>
              </w:rPr>
            </w:pPr>
          </w:p>
        </w:tc>
        <w:tc>
          <w:tcPr>
            <w:tcW w:w="900" w:type="dxa"/>
            <w:vAlign w:val="center"/>
          </w:tcPr>
          <w:p>
            <w:pPr>
              <w:widowControl/>
              <w:snapToGrid w:val="0"/>
              <w:spacing w:line="300" w:lineRule="exact"/>
              <w:jc w:val="center"/>
              <w:rPr>
                <w:rFonts w:ascii="宋体" w:hAnsi="宋体" w:cs="Arial"/>
                <w:kern w:val="0"/>
                <w:szCs w:val="21"/>
              </w:rPr>
            </w:pPr>
          </w:p>
        </w:tc>
        <w:tc>
          <w:tcPr>
            <w:tcW w:w="750" w:type="dxa"/>
            <w:vAlign w:val="center"/>
          </w:tcPr>
          <w:p>
            <w:pPr>
              <w:widowControl/>
              <w:snapToGrid w:val="0"/>
              <w:spacing w:line="300" w:lineRule="exact"/>
              <w:jc w:val="center"/>
              <w:rPr>
                <w:rFonts w:ascii="宋体" w:hAnsi="宋体" w:cs="Arial"/>
                <w:kern w:val="0"/>
                <w:szCs w:val="21"/>
              </w:rPr>
            </w:pPr>
          </w:p>
        </w:tc>
        <w:tc>
          <w:tcPr>
            <w:tcW w:w="855" w:type="dxa"/>
            <w:vAlign w:val="center"/>
          </w:tcPr>
          <w:p>
            <w:pPr>
              <w:widowControl/>
              <w:snapToGrid w:val="0"/>
              <w:spacing w:line="300" w:lineRule="exact"/>
              <w:jc w:val="center"/>
              <w:rPr>
                <w:rFonts w:ascii="宋体" w:hAnsi="宋体" w:cs="Arial"/>
                <w:kern w:val="0"/>
                <w:szCs w:val="21"/>
              </w:rPr>
            </w:pPr>
          </w:p>
        </w:tc>
        <w:tc>
          <w:tcPr>
            <w:tcW w:w="1199" w:type="dxa"/>
            <w:vAlign w:val="center"/>
          </w:tcPr>
          <w:p>
            <w:pPr>
              <w:widowControl/>
              <w:snapToGrid w:val="0"/>
              <w:spacing w:line="300" w:lineRule="exact"/>
              <w:jc w:val="center"/>
              <w:rPr>
                <w:rFonts w:ascii="宋体" w:hAnsi="宋体" w:cs="Arial"/>
                <w:kern w:val="0"/>
                <w:szCs w:val="21"/>
              </w:rPr>
            </w:pPr>
          </w:p>
        </w:tc>
        <w:tc>
          <w:tcPr>
            <w:tcW w:w="1072" w:type="dxa"/>
            <w:vAlign w:val="center"/>
          </w:tcPr>
          <w:p>
            <w:pPr>
              <w:widowControl/>
              <w:snapToGrid w:val="0"/>
              <w:spacing w:line="30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2</w:t>
            </w:r>
          </w:p>
        </w:tc>
        <w:tc>
          <w:tcPr>
            <w:tcW w:w="1725" w:type="dxa"/>
            <w:vAlign w:val="center"/>
          </w:tcPr>
          <w:p>
            <w:pPr>
              <w:widowControl/>
              <w:snapToGrid w:val="0"/>
              <w:spacing w:line="300" w:lineRule="exact"/>
              <w:jc w:val="center"/>
              <w:rPr>
                <w:rFonts w:ascii="宋体" w:hAnsi="宋体" w:cs="Arial"/>
                <w:kern w:val="0"/>
                <w:szCs w:val="21"/>
              </w:rPr>
            </w:pPr>
          </w:p>
        </w:tc>
        <w:tc>
          <w:tcPr>
            <w:tcW w:w="1320" w:type="dxa"/>
            <w:vAlign w:val="center"/>
          </w:tcPr>
          <w:p>
            <w:pPr>
              <w:widowControl/>
              <w:snapToGrid w:val="0"/>
              <w:spacing w:line="300" w:lineRule="exact"/>
              <w:jc w:val="center"/>
              <w:rPr>
                <w:rFonts w:ascii="宋体" w:hAnsi="宋体" w:cs="Arial"/>
                <w:kern w:val="0"/>
                <w:szCs w:val="21"/>
              </w:rPr>
            </w:pPr>
          </w:p>
        </w:tc>
        <w:tc>
          <w:tcPr>
            <w:tcW w:w="900" w:type="dxa"/>
            <w:vAlign w:val="center"/>
          </w:tcPr>
          <w:p>
            <w:pPr>
              <w:widowControl/>
              <w:snapToGrid w:val="0"/>
              <w:spacing w:line="300" w:lineRule="exact"/>
              <w:jc w:val="center"/>
              <w:rPr>
                <w:rFonts w:ascii="宋体" w:hAnsi="宋体" w:cs="Arial"/>
                <w:kern w:val="0"/>
                <w:szCs w:val="21"/>
              </w:rPr>
            </w:pPr>
          </w:p>
        </w:tc>
        <w:tc>
          <w:tcPr>
            <w:tcW w:w="750" w:type="dxa"/>
            <w:vAlign w:val="center"/>
          </w:tcPr>
          <w:p>
            <w:pPr>
              <w:widowControl/>
              <w:snapToGrid w:val="0"/>
              <w:spacing w:line="300" w:lineRule="exact"/>
              <w:jc w:val="center"/>
              <w:rPr>
                <w:rFonts w:ascii="宋体" w:hAnsi="宋体" w:cs="Arial"/>
                <w:kern w:val="0"/>
                <w:szCs w:val="21"/>
              </w:rPr>
            </w:pPr>
          </w:p>
        </w:tc>
        <w:tc>
          <w:tcPr>
            <w:tcW w:w="855" w:type="dxa"/>
            <w:vAlign w:val="center"/>
          </w:tcPr>
          <w:p>
            <w:pPr>
              <w:widowControl/>
              <w:snapToGrid w:val="0"/>
              <w:spacing w:line="300" w:lineRule="exact"/>
              <w:jc w:val="center"/>
              <w:rPr>
                <w:rFonts w:ascii="宋体" w:hAnsi="宋体" w:cs="Arial"/>
                <w:kern w:val="0"/>
                <w:szCs w:val="21"/>
              </w:rPr>
            </w:pPr>
          </w:p>
        </w:tc>
        <w:tc>
          <w:tcPr>
            <w:tcW w:w="1199" w:type="dxa"/>
            <w:vAlign w:val="center"/>
          </w:tcPr>
          <w:p>
            <w:pPr>
              <w:widowControl/>
              <w:snapToGrid w:val="0"/>
              <w:spacing w:line="300" w:lineRule="exact"/>
              <w:jc w:val="center"/>
              <w:rPr>
                <w:rFonts w:ascii="宋体" w:hAnsi="宋体" w:cs="Arial"/>
                <w:kern w:val="0"/>
                <w:szCs w:val="21"/>
              </w:rPr>
            </w:pPr>
          </w:p>
        </w:tc>
        <w:tc>
          <w:tcPr>
            <w:tcW w:w="1072" w:type="dxa"/>
            <w:vAlign w:val="center"/>
          </w:tcPr>
          <w:p>
            <w:pPr>
              <w:widowControl/>
              <w:snapToGrid w:val="0"/>
              <w:spacing w:line="30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3</w:t>
            </w:r>
          </w:p>
        </w:tc>
        <w:tc>
          <w:tcPr>
            <w:tcW w:w="1725" w:type="dxa"/>
            <w:vAlign w:val="center"/>
          </w:tcPr>
          <w:p>
            <w:pPr>
              <w:widowControl/>
              <w:snapToGrid w:val="0"/>
              <w:spacing w:line="300" w:lineRule="exact"/>
              <w:jc w:val="center"/>
              <w:rPr>
                <w:rFonts w:ascii="宋体" w:hAnsi="宋体" w:cs="Arial"/>
                <w:kern w:val="0"/>
                <w:szCs w:val="21"/>
              </w:rPr>
            </w:pPr>
          </w:p>
        </w:tc>
        <w:tc>
          <w:tcPr>
            <w:tcW w:w="1320" w:type="dxa"/>
            <w:vAlign w:val="center"/>
          </w:tcPr>
          <w:p>
            <w:pPr>
              <w:widowControl/>
              <w:snapToGrid w:val="0"/>
              <w:spacing w:line="300" w:lineRule="exact"/>
              <w:jc w:val="center"/>
              <w:rPr>
                <w:rFonts w:ascii="宋体" w:hAnsi="宋体" w:cs="Arial"/>
                <w:kern w:val="0"/>
                <w:szCs w:val="21"/>
              </w:rPr>
            </w:pPr>
          </w:p>
        </w:tc>
        <w:tc>
          <w:tcPr>
            <w:tcW w:w="900" w:type="dxa"/>
            <w:vAlign w:val="center"/>
          </w:tcPr>
          <w:p>
            <w:pPr>
              <w:widowControl/>
              <w:snapToGrid w:val="0"/>
              <w:spacing w:line="300" w:lineRule="exact"/>
              <w:jc w:val="center"/>
              <w:rPr>
                <w:rFonts w:ascii="宋体" w:hAnsi="宋体" w:cs="Arial"/>
                <w:kern w:val="0"/>
                <w:szCs w:val="21"/>
              </w:rPr>
            </w:pPr>
          </w:p>
        </w:tc>
        <w:tc>
          <w:tcPr>
            <w:tcW w:w="750" w:type="dxa"/>
            <w:vAlign w:val="center"/>
          </w:tcPr>
          <w:p>
            <w:pPr>
              <w:widowControl/>
              <w:snapToGrid w:val="0"/>
              <w:spacing w:line="300" w:lineRule="exact"/>
              <w:jc w:val="center"/>
              <w:rPr>
                <w:rFonts w:ascii="宋体" w:hAnsi="宋体" w:cs="Arial"/>
                <w:kern w:val="0"/>
                <w:szCs w:val="21"/>
              </w:rPr>
            </w:pPr>
          </w:p>
        </w:tc>
        <w:tc>
          <w:tcPr>
            <w:tcW w:w="855" w:type="dxa"/>
            <w:vAlign w:val="center"/>
          </w:tcPr>
          <w:p>
            <w:pPr>
              <w:widowControl/>
              <w:snapToGrid w:val="0"/>
              <w:spacing w:line="300" w:lineRule="exact"/>
              <w:jc w:val="center"/>
              <w:rPr>
                <w:rFonts w:ascii="宋体" w:hAnsi="宋体" w:cs="Arial"/>
                <w:kern w:val="0"/>
                <w:szCs w:val="21"/>
              </w:rPr>
            </w:pPr>
          </w:p>
        </w:tc>
        <w:tc>
          <w:tcPr>
            <w:tcW w:w="1199" w:type="dxa"/>
            <w:vAlign w:val="center"/>
          </w:tcPr>
          <w:p>
            <w:pPr>
              <w:widowControl/>
              <w:snapToGrid w:val="0"/>
              <w:spacing w:line="300" w:lineRule="exact"/>
              <w:jc w:val="center"/>
              <w:rPr>
                <w:rFonts w:ascii="宋体" w:hAnsi="宋体" w:cs="Arial"/>
                <w:kern w:val="0"/>
                <w:szCs w:val="21"/>
              </w:rPr>
            </w:pPr>
          </w:p>
        </w:tc>
        <w:tc>
          <w:tcPr>
            <w:tcW w:w="1072" w:type="dxa"/>
            <w:vAlign w:val="center"/>
          </w:tcPr>
          <w:p>
            <w:pPr>
              <w:widowControl/>
              <w:snapToGrid w:val="0"/>
              <w:spacing w:line="30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dxa"/>
            <w:vAlign w:val="center"/>
          </w:tcPr>
          <w:p>
            <w:pPr>
              <w:widowControl/>
              <w:snapToGrid w:val="0"/>
              <w:spacing w:line="300" w:lineRule="exact"/>
              <w:jc w:val="center"/>
              <w:rPr>
                <w:rFonts w:ascii="宋体" w:hAnsi="宋体" w:cs="Arial"/>
                <w:kern w:val="0"/>
                <w:szCs w:val="21"/>
              </w:rPr>
            </w:pPr>
            <w:r>
              <w:rPr>
                <w:rFonts w:hint="eastAsia" w:ascii="宋体" w:hAnsi="宋体" w:cs="Arial"/>
                <w:kern w:val="0"/>
                <w:szCs w:val="21"/>
              </w:rPr>
              <w:t>……</w:t>
            </w:r>
          </w:p>
        </w:tc>
        <w:tc>
          <w:tcPr>
            <w:tcW w:w="1725" w:type="dxa"/>
            <w:vAlign w:val="center"/>
          </w:tcPr>
          <w:p>
            <w:pPr>
              <w:widowControl/>
              <w:snapToGrid w:val="0"/>
              <w:spacing w:line="300" w:lineRule="exact"/>
              <w:jc w:val="center"/>
              <w:rPr>
                <w:rFonts w:ascii="宋体" w:hAnsi="宋体" w:cs="Arial"/>
                <w:kern w:val="0"/>
                <w:szCs w:val="21"/>
              </w:rPr>
            </w:pPr>
          </w:p>
        </w:tc>
        <w:tc>
          <w:tcPr>
            <w:tcW w:w="1320" w:type="dxa"/>
            <w:vAlign w:val="center"/>
          </w:tcPr>
          <w:p>
            <w:pPr>
              <w:widowControl/>
              <w:snapToGrid w:val="0"/>
              <w:spacing w:line="300" w:lineRule="exact"/>
              <w:jc w:val="center"/>
              <w:rPr>
                <w:rFonts w:ascii="宋体" w:hAnsi="宋体" w:cs="Arial"/>
                <w:kern w:val="0"/>
                <w:szCs w:val="21"/>
              </w:rPr>
            </w:pPr>
          </w:p>
        </w:tc>
        <w:tc>
          <w:tcPr>
            <w:tcW w:w="900" w:type="dxa"/>
            <w:vAlign w:val="center"/>
          </w:tcPr>
          <w:p>
            <w:pPr>
              <w:widowControl/>
              <w:snapToGrid w:val="0"/>
              <w:spacing w:line="300" w:lineRule="exact"/>
              <w:jc w:val="center"/>
              <w:rPr>
                <w:rFonts w:ascii="宋体" w:hAnsi="宋体" w:cs="Arial"/>
                <w:kern w:val="0"/>
                <w:szCs w:val="21"/>
              </w:rPr>
            </w:pPr>
          </w:p>
        </w:tc>
        <w:tc>
          <w:tcPr>
            <w:tcW w:w="750" w:type="dxa"/>
            <w:vAlign w:val="center"/>
          </w:tcPr>
          <w:p>
            <w:pPr>
              <w:widowControl/>
              <w:snapToGrid w:val="0"/>
              <w:spacing w:line="300" w:lineRule="exact"/>
              <w:jc w:val="center"/>
              <w:rPr>
                <w:rFonts w:ascii="宋体" w:hAnsi="宋体" w:cs="Arial"/>
                <w:kern w:val="0"/>
                <w:szCs w:val="21"/>
              </w:rPr>
            </w:pPr>
          </w:p>
        </w:tc>
        <w:tc>
          <w:tcPr>
            <w:tcW w:w="855" w:type="dxa"/>
            <w:vAlign w:val="center"/>
          </w:tcPr>
          <w:p>
            <w:pPr>
              <w:widowControl/>
              <w:snapToGrid w:val="0"/>
              <w:spacing w:line="300" w:lineRule="exact"/>
              <w:jc w:val="center"/>
              <w:rPr>
                <w:rFonts w:ascii="宋体" w:hAnsi="宋体" w:cs="Arial"/>
                <w:kern w:val="0"/>
                <w:szCs w:val="21"/>
              </w:rPr>
            </w:pPr>
          </w:p>
        </w:tc>
        <w:tc>
          <w:tcPr>
            <w:tcW w:w="1199" w:type="dxa"/>
            <w:vAlign w:val="center"/>
          </w:tcPr>
          <w:p>
            <w:pPr>
              <w:widowControl/>
              <w:snapToGrid w:val="0"/>
              <w:spacing w:line="300" w:lineRule="exact"/>
              <w:jc w:val="center"/>
              <w:rPr>
                <w:rFonts w:ascii="宋体" w:hAnsi="宋体" w:cs="Arial"/>
                <w:kern w:val="0"/>
                <w:szCs w:val="21"/>
              </w:rPr>
            </w:pPr>
          </w:p>
        </w:tc>
        <w:tc>
          <w:tcPr>
            <w:tcW w:w="1072" w:type="dxa"/>
            <w:vAlign w:val="center"/>
          </w:tcPr>
          <w:p>
            <w:pPr>
              <w:widowControl/>
              <w:snapToGrid w:val="0"/>
              <w:spacing w:line="30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51" w:type="dxa"/>
            <w:gridSpan w:val="6"/>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     计</w:t>
            </w:r>
          </w:p>
        </w:tc>
        <w:tc>
          <w:tcPr>
            <w:tcW w:w="119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szCs w:val="21"/>
        </w:rPr>
      </w:pPr>
      <w:r>
        <w:rPr>
          <w:rFonts w:hint="eastAsia"/>
          <w:szCs w:val="21"/>
        </w:rPr>
        <w:t>表式参考，可根据项目情况自行调整。</w:t>
      </w:r>
    </w:p>
    <w:p/>
    <w:p/>
    <w:p/>
    <w:p/>
    <w:p/>
    <w:p/>
    <w:p/>
    <w:p/>
    <w:p>
      <w:pPr>
        <w:pStyle w:val="2"/>
      </w:pPr>
    </w:p>
    <w:p>
      <w:pPr>
        <w:pStyle w:val="2"/>
      </w:pPr>
    </w:p>
    <w:p>
      <w:pPr>
        <w:pStyle w:val="2"/>
      </w:pPr>
    </w:p>
    <w:p>
      <w:pPr>
        <w:pStyle w:val="2"/>
      </w:pPr>
    </w:p>
    <w:p>
      <w:pPr>
        <w:pStyle w:val="2"/>
      </w:pPr>
    </w:p>
    <w:p>
      <w:pPr>
        <w:pStyle w:val="2"/>
      </w:pPr>
    </w:p>
    <w:p>
      <w:pPr>
        <w:pStyle w:val="2"/>
      </w:pPr>
    </w:p>
    <w:p>
      <w:pPr>
        <w:pStyle w:val="2"/>
      </w:pPr>
    </w:p>
    <w:p/>
    <w:p>
      <w:pPr>
        <w:pStyle w:val="4"/>
        <w:overflowPunct w:val="0"/>
        <w:spacing w:line="500" w:lineRule="exact"/>
        <w:ind w:firstLine="0"/>
        <w:rPr>
          <w:rFonts w:hAnsi="宋体" w:cs="宋体"/>
          <w:b/>
          <w:bCs/>
          <w:sz w:val="28"/>
          <w:szCs w:val="28"/>
        </w:rPr>
      </w:pPr>
      <w:r>
        <w:rPr>
          <w:rFonts w:hint="eastAsia" w:hAnsi="宋体" w:cs="宋体"/>
          <w:b/>
          <w:bCs/>
          <w:sz w:val="28"/>
          <w:szCs w:val="28"/>
          <w:lang w:val="en-US" w:eastAsia="zh-CN"/>
        </w:rPr>
        <w:t>6</w:t>
      </w: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pStyle w:val="3"/>
        <w:tabs>
          <w:tab w:val="left" w:pos="432"/>
        </w:tabs>
        <w:spacing w:line="480" w:lineRule="exact"/>
        <w:rPr>
          <w:rFonts w:ascii="宋体" w:hAnsi="宋体" w:eastAsia="宋体" w:cs="宋体"/>
          <w:b/>
          <w:bCs/>
          <w:sz w:val="32"/>
          <w:szCs w:val="32"/>
        </w:rPr>
      </w:pPr>
    </w:p>
    <w:p>
      <w:pPr>
        <w:pStyle w:val="3"/>
        <w:tabs>
          <w:tab w:val="left" w:pos="432"/>
        </w:tabs>
        <w:spacing w:line="480" w:lineRule="exact"/>
        <w:rPr>
          <w:rFonts w:ascii="宋体" w:hAnsi="宋体" w:eastAsia="宋体" w:cs="宋体"/>
          <w:sz w:val="24"/>
        </w:rPr>
      </w:pP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
    <w:p/>
    <w:p/>
    <w:p/>
    <w:p/>
    <w:p/>
    <w:p/>
    <w:p/>
    <w:p/>
    <w:p/>
    <w:p/>
    <w:p/>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4003D"/>
    <w:rsid w:val="00002EB5"/>
    <w:rsid w:val="00087229"/>
    <w:rsid w:val="000D0161"/>
    <w:rsid w:val="001E4814"/>
    <w:rsid w:val="002F453A"/>
    <w:rsid w:val="00392642"/>
    <w:rsid w:val="00417D29"/>
    <w:rsid w:val="0044701D"/>
    <w:rsid w:val="004509C0"/>
    <w:rsid w:val="004C13A9"/>
    <w:rsid w:val="004D07C7"/>
    <w:rsid w:val="006047E2"/>
    <w:rsid w:val="006D37DA"/>
    <w:rsid w:val="006F1952"/>
    <w:rsid w:val="00717468"/>
    <w:rsid w:val="007F6B34"/>
    <w:rsid w:val="00807E90"/>
    <w:rsid w:val="008956EA"/>
    <w:rsid w:val="00933B71"/>
    <w:rsid w:val="009F270D"/>
    <w:rsid w:val="00A12DE2"/>
    <w:rsid w:val="00A4003D"/>
    <w:rsid w:val="00A939BD"/>
    <w:rsid w:val="00BF2419"/>
    <w:rsid w:val="00CB75E5"/>
    <w:rsid w:val="00CC7DE1"/>
    <w:rsid w:val="00D46802"/>
    <w:rsid w:val="00DD50AF"/>
    <w:rsid w:val="00DF2D6A"/>
    <w:rsid w:val="00E048C8"/>
    <w:rsid w:val="00EE1E92"/>
    <w:rsid w:val="00F02A7A"/>
    <w:rsid w:val="00FD1F3C"/>
    <w:rsid w:val="02953D98"/>
    <w:rsid w:val="10B046FC"/>
    <w:rsid w:val="13251C0A"/>
    <w:rsid w:val="17E55C20"/>
    <w:rsid w:val="1C015575"/>
    <w:rsid w:val="24A9428D"/>
    <w:rsid w:val="2C1B11E1"/>
    <w:rsid w:val="34344420"/>
    <w:rsid w:val="37502FE6"/>
    <w:rsid w:val="38787672"/>
    <w:rsid w:val="3A6A0739"/>
    <w:rsid w:val="3E892FF3"/>
    <w:rsid w:val="451E0BE4"/>
    <w:rsid w:val="45B62A75"/>
    <w:rsid w:val="4A2839DE"/>
    <w:rsid w:val="585917C9"/>
    <w:rsid w:val="68274342"/>
    <w:rsid w:val="68C6528A"/>
    <w:rsid w:val="7BEF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next w:val="1"/>
    <w:link w:val="22"/>
    <w:qFormat/>
    <w:uiPriority w:val="0"/>
    <w:pPr>
      <w:keepNext/>
      <w:jc w:val="center"/>
      <w:outlineLvl w:val="0"/>
    </w:pPr>
    <w:rPr>
      <w:rFonts w:ascii="黑体" w:hAnsi="Times New Roman" w:eastAsia="黑体" w:cs="Times New Roman"/>
      <w:kern w:val="2"/>
      <w:sz w:val="5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Normal Indent"/>
    <w:basedOn w:val="1"/>
    <w:next w:val="1"/>
    <w:link w:val="16"/>
    <w:qFormat/>
    <w:uiPriority w:val="0"/>
    <w:pPr>
      <w:autoSpaceDE w:val="0"/>
      <w:autoSpaceDN w:val="0"/>
      <w:adjustRightInd w:val="0"/>
      <w:ind w:firstLine="420"/>
    </w:pPr>
    <w:rPr>
      <w:rFonts w:ascii="宋体"/>
      <w:sz w:val="24"/>
    </w:rPr>
  </w:style>
  <w:style w:type="paragraph" w:styleId="5">
    <w:name w:val="Plain Text"/>
    <w:basedOn w:val="1"/>
    <w:next w:val="4"/>
    <w:link w:val="19"/>
    <w:qFormat/>
    <w:uiPriority w:val="99"/>
    <w:rPr>
      <w:rFonts w:ascii="宋体" w:hAnsi="宋体" w:eastAsiaTheme="minorEastAsia" w:cstheme="minorBidi"/>
      <w:sz w:val="26"/>
      <w:szCs w:val="22"/>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ind w:left="1260"/>
    </w:p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semiHidden/>
    <w:qFormat/>
    <w:uiPriority w:val="99"/>
    <w:rPr>
      <w:sz w:val="18"/>
      <w:szCs w:val="18"/>
    </w:rPr>
  </w:style>
  <w:style w:type="paragraph" w:customStyle="1" w:styleId="15">
    <w:name w:val="纯文本1"/>
    <w:next w:val="8"/>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 w:type="character" w:customStyle="1" w:styleId="16">
    <w:name w:val="正文缩进 Char"/>
    <w:link w:val="4"/>
    <w:qFormat/>
    <w:uiPriority w:val="0"/>
    <w:rPr>
      <w:rFonts w:ascii="宋体" w:hAnsi="Times New Roman" w:eastAsia="宋体" w:cs="Times New Roman"/>
      <w:sz w:val="24"/>
      <w:szCs w:val="20"/>
    </w:rPr>
  </w:style>
  <w:style w:type="character" w:customStyle="1" w:styleId="17">
    <w:name w:val="批注主题 Char"/>
    <w:qFormat/>
    <w:uiPriority w:val="99"/>
    <w:rPr>
      <w:rFonts w:eastAsia="宋体"/>
      <w:b/>
      <w:bCs/>
    </w:rPr>
  </w:style>
  <w:style w:type="character" w:customStyle="1" w:styleId="18">
    <w:name w:val="纯文本 Char"/>
    <w:basedOn w:val="12"/>
    <w:link w:val="5"/>
    <w:semiHidden/>
    <w:qFormat/>
    <w:uiPriority w:val="99"/>
    <w:rPr>
      <w:rFonts w:ascii="宋体" w:hAnsi="Courier New" w:eastAsia="宋体" w:cs="Courier New"/>
      <w:szCs w:val="21"/>
    </w:rPr>
  </w:style>
  <w:style w:type="character" w:customStyle="1" w:styleId="19">
    <w:name w:val="纯文本 Char1"/>
    <w:basedOn w:val="12"/>
    <w:link w:val="5"/>
    <w:qFormat/>
    <w:uiPriority w:val="99"/>
    <w:rPr>
      <w:rFonts w:ascii="宋体" w:hAnsi="宋体"/>
      <w:sz w:val="26"/>
    </w:rPr>
  </w:style>
  <w:style w:type="paragraph" w:customStyle="1" w:styleId="20">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0"/>
      <w:sz w:val="21"/>
      <w:szCs w:val="22"/>
      <w:lang w:val="en-US" w:eastAsia="zh-CN" w:bidi="ar-SA"/>
    </w:rPr>
  </w:style>
  <w:style w:type="paragraph" w:customStyle="1" w:styleId="21">
    <w:name w:val="纯文本2"/>
    <w:next w:val="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22">
    <w:name w:val="标题 1 Char"/>
    <w:basedOn w:val="12"/>
    <w:link w:val="3"/>
    <w:qFormat/>
    <w:uiPriority w:val="0"/>
    <w:rPr>
      <w:rFonts w:ascii="黑体" w:hAnsi="Times New Roman" w:eastAsia="黑体" w:cs="Times New Roman"/>
      <w:sz w:val="52"/>
      <w:szCs w:val="24"/>
    </w:rPr>
  </w:style>
  <w:style w:type="paragraph" w:customStyle="1" w:styleId="23">
    <w:name w:val="Plain Text"/>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2947</Words>
  <Characters>16803</Characters>
  <Lines>140</Lines>
  <Paragraphs>39</Paragraphs>
  <TotalTime>3</TotalTime>
  <ScaleCrop>false</ScaleCrop>
  <LinksUpToDate>false</LinksUpToDate>
  <CharactersWithSpaces>19711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2020-10-21T05:37:00Z</dcterms:created>
  <dc:creator>江苏东创消防工程技术有限公司</dc:creator>
  <cp:lastModifiedBy>空城</cp:lastModifiedBy>
  <dcterms:modified xsi:type="dcterms:W3CDTF">2020-10-23T00:08:26Z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