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ind w:firstLine="2640" w:firstLineChars="600"/>
        <w:rPr>
          <w:rFonts w:ascii="宋体" w:hAnsi="宋体"/>
          <w:sz w:val="44"/>
          <w:szCs w:val="44"/>
        </w:rPr>
      </w:pPr>
      <w:r>
        <w:rPr>
          <w:rFonts w:hint="eastAsia" w:ascii="黑体" w:hAnsi="黑体" w:eastAsia="黑体"/>
          <w:sz w:val="44"/>
          <w:szCs w:val="44"/>
        </w:rPr>
        <w:t>苏州高新区人民医院</w:t>
      </w:r>
    </w:p>
    <w:p>
      <w:pPr>
        <w:spacing w:line="360" w:lineRule="auto"/>
        <w:ind w:firstLine="1501"/>
        <w:rPr>
          <w:rFonts w:ascii="宋体" w:hAnsi="宋体"/>
          <w:sz w:val="44"/>
          <w:szCs w:val="44"/>
        </w:rPr>
      </w:pPr>
    </w:p>
    <w:p>
      <w:pPr>
        <w:spacing w:line="360" w:lineRule="auto"/>
        <w:ind w:firstLine="2640" w:firstLineChars="600"/>
        <w:rPr>
          <w:rFonts w:ascii="黑体" w:hAnsi="黑体" w:eastAsia="黑体"/>
          <w:sz w:val="44"/>
          <w:szCs w:val="44"/>
        </w:rPr>
      </w:pPr>
      <w:r>
        <w:rPr>
          <w:rFonts w:hint="eastAsia" w:ascii="黑体" w:hAnsi="黑体" w:eastAsia="黑体"/>
          <w:sz w:val="44"/>
          <w:szCs w:val="44"/>
        </w:rPr>
        <w:t>安防系统维护保养</w:t>
      </w:r>
    </w:p>
    <w:p>
      <w:pPr>
        <w:spacing w:line="360" w:lineRule="auto"/>
        <w:rPr>
          <w:rFonts w:ascii="宋体" w:hAnsi="宋体"/>
          <w:sz w:val="32"/>
          <w:szCs w:val="32"/>
        </w:rPr>
      </w:pPr>
    </w:p>
    <w:p>
      <w:pPr>
        <w:spacing w:line="360" w:lineRule="auto"/>
        <w:jc w:val="center"/>
        <w:rPr>
          <w:rFonts w:ascii="宋体" w:hAnsi="宋体"/>
          <w:sz w:val="32"/>
          <w:szCs w:val="32"/>
        </w:rPr>
      </w:pPr>
    </w:p>
    <w:p>
      <w:pPr>
        <w:spacing w:line="360" w:lineRule="auto"/>
        <w:jc w:val="center"/>
        <w:rPr>
          <w:rFonts w:ascii="宋体" w:hAnsi="宋体"/>
          <w:sz w:val="32"/>
          <w:szCs w:val="32"/>
        </w:rPr>
      </w:pPr>
    </w:p>
    <w:p>
      <w:pPr>
        <w:spacing w:line="360" w:lineRule="auto"/>
        <w:rPr>
          <w:rFonts w:ascii="宋体" w:hAnsi="宋体" w:cs="黑体"/>
          <w:kern w:val="0"/>
          <w:sz w:val="32"/>
          <w:szCs w:val="32"/>
        </w:rPr>
      </w:pPr>
    </w:p>
    <w:p>
      <w:pPr>
        <w:spacing w:line="360" w:lineRule="auto"/>
        <w:jc w:val="center"/>
        <w:rPr>
          <w:rFonts w:ascii="宋体" w:hAnsi="宋体"/>
          <w:sz w:val="32"/>
          <w:szCs w:val="32"/>
        </w:rPr>
      </w:pPr>
    </w:p>
    <w:p>
      <w:pPr>
        <w:spacing w:line="360" w:lineRule="auto"/>
        <w:jc w:val="center"/>
        <w:rPr>
          <w:rFonts w:ascii="宋体" w:hAnsi="宋体"/>
          <w:sz w:val="32"/>
          <w:szCs w:val="32"/>
        </w:rPr>
      </w:pPr>
    </w:p>
    <w:p>
      <w:pPr>
        <w:spacing w:line="360" w:lineRule="auto"/>
        <w:rPr>
          <w:rFonts w:ascii="宋体" w:hAnsi="宋体"/>
          <w:sz w:val="32"/>
          <w:szCs w:val="32"/>
        </w:rPr>
      </w:pPr>
    </w:p>
    <w:p>
      <w:pPr>
        <w:spacing w:line="360" w:lineRule="auto"/>
        <w:rPr>
          <w:rFonts w:ascii="宋体" w:hAnsi="宋体"/>
          <w:sz w:val="32"/>
          <w:szCs w:val="32"/>
        </w:rPr>
      </w:pPr>
    </w:p>
    <w:p>
      <w:pPr>
        <w:spacing w:line="360" w:lineRule="auto"/>
        <w:rPr>
          <w:rFonts w:ascii="宋体" w:hAnsi="宋体"/>
          <w:sz w:val="32"/>
          <w:szCs w:val="32"/>
        </w:rPr>
      </w:pPr>
    </w:p>
    <w:p>
      <w:pPr>
        <w:spacing w:line="360" w:lineRule="auto"/>
        <w:rPr>
          <w:rFonts w:ascii="宋体" w:hAnsi="宋体"/>
          <w:sz w:val="32"/>
          <w:szCs w:val="32"/>
        </w:rPr>
      </w:pPr>
    </w:p>
    <w:p>
      <w:pPr>
        <w:spacing w:line="360" w:lineRule="auto"/>
        <w:rPr>
          <w:rFonts w:ascii="宋体" w:hAnsi="宋体"/>
          <w:sz w:val="32"/>
          <w:szCs w:val="32"/>
        </w:rPr>
      </w:pPr>
    </w:p>
    <w:p>
      <w:pPr>
        <w:spacing w:line="360" w:lineRule="auto"/>
        <w:ind w:firstLine="2560" w:firstLineChars="800"/>
        <w:rPr>
          <w:rFonts w:ascii="宋体" w:hAnsi="宋体"/>
          <w:sz w:val="32"/>
          <w:szCs w:val="32"/>
          <w:u w:val="single"/>
        </w:rPr>
      </w:pPr>
      <w:r>
        <w:rPr>
          <w:rFonts w:hint="eastAsia" w:ascii="宋体" w:hAnsi="宋体"/>
          <w:sz w:val="32"/>
          <w:szCs w:val="32"/>
        </w:rPr>
        <w:t>招标方：</w:t>
      </w:r>
      <w:r>
        <w:rPr>
          <w:rFonts w:hint="eastAsia" w:ascii="宋体" w:hAnsi="宋体"/>
          <w:sz w:val="32"/>
          <w:szCs w:val="32"/>
          <w:u w:val="single"/>
        </w:rPr>
        <w:t>苏州高新区人民医院</w:t>
      </w:r>
    </w:p>
    <w:p>
      <w:pPr>
        <w:spacing w:line="360" w:lineRule="auto"/>
        <w:rPr>
          <w:rFonts w:ascii="宋体" w:hAnsi="宋体"/>
          <w:sz w:val="32"/>
          <w:szCs w:val="32"/>
          <w:u w:val="single"/>
        </w:rPr>
      </w:pPr>
    </w:p>
    <w:p>
      <w:pPr>
        <w:spacing w:line="360" w:lineRule="auto"/>
        <w:ind w:firstLine="2560" w:firstLineChars="800"/>
        <w:rPr>
          <w:rFonts w:ascii="宋体" w:hAnsi="宋体"/>
          <w:sz w:val="32"/>
          <w:szCs w:val="32"/>
        </w:rPr>
      </w:pPr>
      <w:r>
        <w:rPr>
          <w:rFonts w:hint="eastAsia" w:ascii="宋体" w:hAnsi="宋体"/>
          <w:sz w:val="32"/>
          <w:szCs w:val="32"/>
        </w:rPr>
        <w:t>日   期：202</w:t>
      </w:r>
      <w:r>
        <w:rPr>
          <w:rFonts w:ascii="宋体" w:hAnsi="宋体"/>
          <w:sz w:val="32"/>
          <w:szCs w:val="32"/>
        </w:rPr>
        <w:t>2</w:t>
      </w:r>
      <w:r>
        <w:rPr>
          <w:rFonts w:hint="eastAsia" w:ascii="宋体" w:hAnsi="宋体"/>
          <w:sz w:val="32"/>
          <w:szCs w:val="32"/>
        </w:rPr>
        <w:t>年5月</w:t>
      </w:r>
    </w:p>
    <w:p>
      <w:pPr>
        <w:spacing w:line="360" w:lineRule="auto"/>
        <w:jc w:val="center"/>
        <w:rPr>
          <w:rFonts w:ascii="宋体" w:hAnsi="宋体"/>
          <w:sz w:val="32"/>
          <w:szCs w:val="32"/>
        </w:rPr>
      </w:pPr>
    </w:p>
    <w:p>
      <w:pPr>
        <w:spacing w:line="360" w:lineRule="auto"/>
        <w:jc w:val="center"/>
        <w:rPr>
          <w:rFonts w:ascii="宋体" w:hAnsi="宋体"/>
          <w:sz w:val="24"/>
        </w:rPr>
      </w:pPr>
    </w:p>
    <w:p>
      <w:pPr>
        <w:adjustRightInd w:val="0"/>
        <w:snapToGrid w:val="0"/>
        <w:jc w:val="center"/>
        <w:rPr>
          <w:rFonts w:ascii="宋体" w:hAnsi="宋体"/>
          <w:b/>
          <w:bCs/>
          <w:kern w:val="0"/>
          <w:sz w:val="32"/>
          <w:szCs w:val="32"/>
        </w:rPr>
      </w:pPr>
    </w:p>
    <w:p>
      <w:pPr>
        <w:adjustRightInd w:val="0"/>
        <w:snapToGrid w:val="0"/>
        <w:jc w:val="center"/>
        <w:rPr>
          <w:rFonts w:ascii="宋体" w:hAnsi="宋体"/>
          <w:b/>
          <w:bCs/>
          <w:kern w:val="0"/>
          <w:sz w:val="32"/>
          <w:szCs w:val="32"/>
        </w:rPr>
      </w:pPr>
    </w:p>
    <w:p>
      <w:pPr>
        <w:adjustRightInd w:val="0"/>
        <w:snapToGrid w:val="0"/>
        <w:jc w:val="center"/>
        <w:rPr>
          <w:rFonts w:ascii="宋体" w:hAnsi="宋体"/>
          <w:b/>
          <w:sz w:val="36"/>
          <w:szCs w:val="36"/>
        </w:rPr>
      </w:pPr>
      <w:r>
        <w:rPr>
          <w:rFonts w:hint="eastAsia" w:ascii="宋体" w:hAnsi="宋体"/>
          <w:b/>
          <w:bCs/>
          <w:kern w:val="0"/>
          <w:sz w:val="32"/>
          <w:szCs w:val="32"/>
        </w:rPr>
        <w:t>安防系统</w:t>
      </w:r>
      <w:r>
        <w:rPr>
          <w:rFonts w:ascii="宋体" w:hAnsi="宋体"/>
          <w:b/>
          <w:bCs/>
          <w:kern w:val="0"/>
          <w:sz w:val="32"/>
          <w:szCs w:val="32"/>
        </w:rPr>
        <w:t>维保</w:t>
      </w:r>
      <w:r>
        <w:rPr>
          <w:rFonts w:hint="eastAsia" w:ascii="宋体" w:hAnsi="宋体"/>
          <w:b/>
          <w:bCs/>
          <w:kern w:val="0"/>
          <w:sz w:val="32"/>
          <w:szCs w:val="32"/>
        </w:rPr>
        <w:t>项目</w:t>
      </w:r>
    </w:p>
    <w:p>
      <w:pPr>
        <w:spacing w:line="360" w:lineRule="auto"/>
        <w:ind w:firstLine="480" w:firstLineChars="200"/>
        <w:rPr>
          <w:rFonts w:ascii="宋体" w:hAnsi="宋体"/>
          <w:sz w:val="24"/>
        </w:rPr>
      </w:pPr>
      <w:r>
        <w:rPr>
          <w:rFonts w:ascii="宋体" w:hAnsi="宋体"/>
          <w:sz w:val="24"/>
        </w:rPr>
        <w:t>根据</w:t>
      </w:r>
      <w:r>
        <w:rPr>
          <w:rFonts w:hint="eastAsia" w:ascii="宋体" w:hAnsi="宋体"/>
          <w:sz w:val="24"/>
        </w:rPr>
        <w:t>苏州高新区人民医院</w:t>
      </w:r>
      <w:r>
        <w:rPr>
          <w:rFonts w:ascii="宋体" w:hAnsi="宋体"/>
          <w:sz w:val="24"/>
        </w:rPr>
        <w:t>采购管理的有关规定，现对我院</w:t>
      </w:r>
      <w:r>
        <w:rPr>
          <w:rFonts w:hint="eastAsia" w:ascii="宋体" w:hAnsi="宋体"/>
          <w:sz w:val="24"/>
        </w:rPr>
        <w:t>安防</w:t>
      </w:r>
      <w:r>
        <w:rPr>
          <w:rFonts w:ascii="宋体" w:hAnsi="宋体"/>
          <w:sz w:val="24"/>
        </w:rPr>
        <w:t>系统维保项目进行公开招标，欢迎</w:t>
      </w:r>
      <w:r>
        <w:rPr>
          <w:rFonts w:hint="eastAsia" w:ascii="宋体" w:hAnsi="宋体"/>
          <w:sz w:val="24"/>
        </w:rPr>
        <w:t>合格投标人</w:t>
      </w:r>
      <w:r>
        <w:rPr>
          <w:rFonts w:ascii="宋体" w:hAnsi="宋体"/>
          <w:sz w:val="24"/>
        </w:rPr>
        <w:t>参加投标。</w:t>
      </w:r>
    </w:p>
    <w:p>
      <w:pPr>
        <w:pStyle w:val="3"/>
        <w:ind w:left="-140" w:leftChars="-67" w:hanging="1"/>
        <w:jc w:val="center"/>
        <w:rPr>
          <w:b w:val="0"/>
          <w:sz w:val="28"/>
          <w:szCs w:val="28"/>
        </w:rPr>
      </w:pPr>
      <w:r>
        <w:rPr>
          <w:b w:val="0"/>
          <w:sz w:val="28"/>
          <w:szCs w:val="28"/>
        </w:rPr>
        <w:t>第一部分 招标公告</w:t>
      </w:r>
    </w:p>
    <w:p>
      <w:pPr>
        <w:spacing w:line="360" w:lineRule="auto"/>
        <w:rPr>
          <w:rFonts w:ascii="宋体" w:hAnsi="宋体"/>
          <w:bCs/>
          <w:kern w:val="0"/>
          <w:sz w:val="24"/>
        </w:rPr>
      </w:pPr>
      <w:r>
        <w:rPr>
          <w:rFonts w:ascii="宋体" w:hAnsi="宋体"/>
          <w:sz w:val="24"/>
        </w:rPr>
        <w:t>一、项目名称：</w:t>
      </w:r>
      <w:r>
        <w:rPr>
          <w:rFonts w:hint="eastAsia" w:ascii="宋体" w:hAnsi="宋体"/>
          <w:sz w:val="24"/>
        </w:rPr>
        <w:t>安防</w:t>
      </w:r>
      <w:r>
        <w:rPr>
          <w:rFonts w:ascii="宋体" w:hAnsi="宋体"/>
          <w:sz w:val="24"/>
        </w:rPr>
        <w:t>监控系统维保项目</w:t>
      </w:r>
    </w:p>
    <w:p>
      <w:pPr>
        <w:spacing w:line="360" w:lineRule="auto"/>
        <w:rPr>
          <w:rFonts w:ascii="宋体" w:hAnsi="宋体"/>
          <w:sz w:val="24"/>
        </w:rPr>
      </w:pPr>
      <w:r>
        <w:rPr>
          <w:rFonts w:hint="eastAsia" w:ascii="宋体" w:hAnsi="宋体"/>
          <w:sz w:val="24"/>
        </w:rPr>
        <w:t>二</w:t>
      </w:r>
      <w:r>
        <w:rPr>
          <w:rFonts w:ascii="宋体" w:hAnsi="宋体"/>
          <w:sz w:val="24"/>
        </w:rPr>
        <w:t>、招标方式：公开招标。</w:t>
      </w:r>
    </w:p>
    <w:p>
      <w:pPr>
        <w:spacing w:line="360" w:lineRule="auto"/>
        <w:rPr>
          <w:rFonts w:ascii="宋体" w:hAnsi="宋体"/>
          <w:sz w:val="24"/>
        </w:rPr>
      </w:pPr>
      <w:r>
        <w:rPr>
          <w:rFonts w:hint="eastAsia" w:ascii="宋体" w:hAnsi="宋体"/>
          <w:sz w:val="24"/>
        </w:rPr>
        <w:t>三、投标地点：</w:t>
      </w:r>
    </w:p>
    <w:p>
      <w:pPr>
        <w:spacing w:line="360" w:lineRule="auto"/>
        <w:ind w:left="412" w:leftChars="196"/>
        <w:rPr>
          <w:rFonts w:ascii="宋体" w:hAnsi="宋体"/>
          <w:sz w:val="24"/>
        </w:rPr>
      </w:pPr>
      <w:r>
        <w:rPr>
          <w:rFonts w:hint="eastAsia" w:ascii="宋体" w:hAnsi="宋体"/>
          <w:sz w:val="24"/>
        </w:rPr>
        <w:t>苏州高新区华山路95号</w:t>
      </w:r>
    </w:p>
    <w:p>
      <w:pPr>
        <w:spacing w:line="360" w:lineRule="auto"/>
        <w:rPr>
          <w:rFonts w:ascii="宋体" w:hAnsi="宋体"/>
          <w:sz w:val="24"/>
        </w:rPr>
      </w:pPr>
      <w:r>
        <w:rPr>
          <w:rFonts w:hint="eastAsia" w:ascii="宋体" w:hAnsi="宋体"/>
          <w:sz w:val="24"/>
        </w:rPr>
        <w:t>四、报名时间：自公告发放之日起至</w:t>
      </w:r>
      <w:r>
        <w:rPr>
          <w:rFonts w:ascii="宋体" w:hAnsi="宋体"/>
          <w:sz w:val="24"/>
        </w:rPr>
        <w:t>20</w:t>
      </w:r>
      <w:r>
        <w:rPr>
          <w:rFonts w:hint="eastAsia" w:ascii="宋体" w:hAnsi="宋体"/>
          <w:sz w:val="24"/>
        </w:rPr>
        <w:t>2</w:t>
      </w:r>
      <w:r>
        <w:rPr>
          <w:rFonts w:ascii="宋体" w:hAnsi="宋体"/>
          <w:sz w:val="24"/>
        </w:rPr>
        <w:t>2</w:t>
      </w:r>
      <w:r>
        <w:rPr>
          <w:rFonts w:hint="eastAsia" w:ascii="宋体" w:hAnsi="宋体"/>
          <w:sz w:val="24"/>
        </w:rPr>
        <w:t>年</w:t>
      </w:r>
      <w:r>
        <w:rPr>
          <w:rFonts w:hint="eastAsia" w:ascii="宋体" w:hAnsi="宋体"/>
          <w:sz w:val="24"/>
          <w:u w:val="single"/>
        </w:rPr>
        <w:t>5</w:t>
      </w:r>
      <w:r>
        <w:rPr>
          <w:rFonts w:hint="eastAsia" w:ascii="宋体" w:hAnsi="宋体"/>
          <w:sz w:val="24"/>
        </w:rPr>
        <w:t>月</w:t>
      </w:r>
      <w:r>
        <w:rPr>
          <w:rFonts w:hint="eastAsia" w:ascii="宋体" w:hAnsi="宋体"/>
          <w:sz w:val="24"/>
          <w:u w:val="single"/>
          <w:lang w:val="en-US" w:eastAsia="zh-CN"/>
        </w:rPr>
        <w:t>30</w:t>
      </w:r>
      <w:r>
        <w:rPr>
          <w:rFonts w:hint="eastAsia" w:ascii="宋体" w:hAnsi="宋体"/>
          <w:sz w:val="24"/>
        </w:rPr>
        <w:t>日下午</w:t>
      </w:r>
      <w:r>
        <w:rPr>
          <w:rFonts w:hint="eastAsia" w:ascii="宋体" w:hAnsi="宋体"/>
          <w:sz w:val="24"/>
          <w:u w:val="single"/>
        </w:rPr>
        <w:t>15</w:t>
      </w:r>
      <w:r>
        <w:rPr>
          <w:rFonts w:hint="eastAsia" w:ascii="宋体" w:hAnsi="宋体"/>
          <w:sz w:val="24"/>
        </w:rPr>
        <w:t>时</w:t>
      </w:r>
      <w:r>
        <w:rPr>
          <w:rFonts w:hint="eastAsia" w:ascii="宋体" w:hAnsi="宋体"/>
          <w:sz w:val="24"/>
          <w:u w:val="single"/>
        </w:rPr>
        <w:t>00</w:t>
      </w:r>
      <w:r>
        <w:rPr>
          <w:rFonts w:hint="eastAsia" w:ascii="宋体" w:hAnsi="宋体"/>
          <w:sz w:val="24"/>
        </w:rPr>
        <w:t>分</w:t>
      </w:r>
    </w:p>
    <w:p>
      <w:pPr>
        <w:spacing w:line="360" w:lineRule="auto"/>
        <w:rPr>
          <w:rFonts w:ascii="宋体" w:hAnsi="宋体"/>
          <w:sz w:val="24"/>
        </w:rPr>
      </w:pPr>
      <w:r>
        <w:rPr>
          <w:rFonts w:hint="eastAsia" w:ascii="宋体" w:hAnsi="宋体"/>
          <w:sz w:val="24"/>
        </w:rPr>
        <w:t>五、联系方式：</w:t>
      </w:r>
    </w:p>
    <w:p>
      <w:pPr>
        <w:spacing w:line="360" w:lineRule="auto"/>
        <w:ind w:firstLine="480"/>
        <w:rPr>
          <w:rFonts w:ascii="宋体" w:hAnsi="宋体" w:cs="宋体"/>
          <w:kern w:val="0"/>
          <w:sz w:val="24"/>
        </w:rPr>
      </w:pPr>
      <w:r>
        <w:rPr>
          <w:rFonts w:hint="eastAsia" w:ascii="宋体" w:hAnsi="宋体"/>
          <w:sz w:val="24"/>
        </w:rPr>
        <w:t>崔老师</w:t>
      </w:r>
      <w:r>
        <w:rPr>
          <w:rFonts w:hint="eastAsia" w:ascii="宋体" w:hAnsi="宋体" w:cs="宋体"/>
          <w:kern w:val="0"/>
          <w:sz w:val="24"/>
        </w:rPr>
        <w:t>0512-69585014 （保卫科）</w:t>
      </w:r>
    </w:p>
    <w:p>
      <w:pPr>
        <w:spacing w:line="360" w:lineRule="auto"/>
        <w:rPr>
          <w:rFonts w:ascii="宋体" w:hAnsi="宋体"/>
          <w:sz w:val="24"/>
        </w:rPr>
      </w:pPr>
      <w:r>
        <w:rPr>
          <w:rFonts w:hint="eastAsia" w:ascii="宋体" w:hAnsi="宋体"/>
          <w:sz w:val="24"/>
        </w:rPr>
        <w:t>六、开标时间：时间另行通知</w:t>
      </w:r>
    </w:p>
    <w:p>
      <w:pPr>
        <w:spacing w:line="360" w:lineRule="auto"/>
        <w:rPr>
          <w:rFonts w:ascii="宋体" w:hAnsi="宋体"/>
          <w:sz w:val="24"/>
        </w:rPr>
      </w:pPr>
      <w:r>
        <w:rPr>
          <w:rFonts w:hint="eastAsia" w:ascii="宋体" w:hAnsi="宋体"/>
          <w:sz w:val="24"/>
        </w:rPr>
        <w:t>七、开标地点：</w:t>
      </w:r>
    </w:p>
    <w:p>
      <w:pPr>
        <w:spacing w:line="360" w:lineRule="auto"/>
        <w:rPr>
          <w:rFonts w:ascii="宋体" w:hAnsi="宋体"/>
          <w:sz w:val="24"/>
        </w:rPr>
      </w:pPr>
      <w:r>
        <w:rPr>
          <w:rFonts w:hint="eastAsia" w:ascii="宋体" w:hAnsi="宋体"/>
          <w:sz w:val="24"/>
        </w:rPr>
        <w:t>苏州高新区人民医院</w:t>
      </w:r>
    </w:p>
    <w:p>
      <w:pPr>
        <w:spacing w:line="360" w:lineRule="auto"/>
        <w:rPr>
          <w:rFonts w:ascii="宋体" w:hAnsi="宋体"/>
          <w:sz w:val="24"/>
        </w:rPr>
      </w:pPr>
      <w:r>
        <w:rPr>
          <w:rFonts w:hint="eastAsia" w:ascii="宋体" w:hAnsi="宋体"/>
          <w:sz w:val="24"/>
        </w:rPr>
        <w:t>八、</w:t>
      </w:r>
      <w:r>
        <w:rPr>
          <w:rFonts w:ascii="宋体" w:hAnsi="宋体"/>
          <w:sz w:val="24"/>
        </w:rPr>
        <w:t>投标人资质要求</w:t>
      </w:r>
    </w:p>
    <w:p>
      <w:pPr>
        <w:spacing w:line="360" w:lineRule="auto"/>
        <w:ind w:firstLine="480" w:firstLineChars="200"/>
        <w:rPr>
          <w:rFonts w:ascii="宋体" w:hAnsi="宋体"/>
          <w:sz w:val="24"/>
        </w:rPr>
      </w:pPr>
      <w:r>
        <w:rPr>
          <w:rFonts w:hint="eastAsia" w:ascii="宋体" w:hAnsi="宋体"/>
          <w:sz w:val="24"/>
        </w:rPr>
        <w:t>投标人须具备《中华人民共和国政府采购法》第22条规定的条件，并具有下列资质：</w:t>
      </w:r>
    </w:p>
    <w:p>
      <w:pPr>
        <w:adjustRightInd w:val="0"/>
        <w:spacing w:line="400" w:lineRule="exact"/>
        <w:ind w:right="-161" w:firstLine="480" w:firstLineChars="200"/>
        <w:contextualSpacing/>
        <w:rPr>
          <w:rFonts w:ascii="宋体" w:hAnsi="宋体" w:cs="宋体"/>
          <w:sz w:val="24"/>
          <w:shd w:val="clear" w:color="auto" w:fill="FFFFFF"/>
          <w:lang w:val="zh-CN"/>
        </w:rPr>
      </w:pPr>
      <w:r>
        <w:rPr>
          <w:rFonts w:hint="eastAsia" w:ascii="宋体" w:hAnsi="宋体" w:cs="宋体"/>
          <w:sz w:val="24"/>
          <w:shd w:val="clear" w:color="auto" w:fill="FFFFFF"/>
          <w:lang w:val="zh-CN"/>
        </w:rPr>
        <w:t>（</w:t>
      </w:r>
      <w:r>
        <w:rPr>
          <w:rFonts w:hint="eastAsia" w:ascii="宋体" w:hAnsi="宋体" w:cs="宋体"/>
          <w:sz w:val="24"/>
          <w:shd w:val="clear" w:color="auto" w:fill="FFFFFF"/>
        </w:rPr>
        <w:t>1）</w:t>
      </w:r>
      <w:r>
        <w:rPr>
          <w:rFonts w:hint="eastAsia" w:ascii="宋体" w:hAnsi="宋体" w:cs="宋体"/>
          <w:sz w:val="24"/>
          <w:shd w:val="clear" w:color="auto" w:fill="FFFFFF"/>
          <w:lang w:val="zh-CN"/>
        </w:rPr>
        <w:t>具有独立承担民事责任的能力；</w:t>
      </w:r>
    </w:p>
    <w:p>
      <w:pPr>
        <w:adjustRightInd w:val="0"/>
        <w:spacing w:line="400" w:lineRule="exact"/>
        <w:ind w:right="-161" w:firstLine="480" w:firstLineChars="200"/>
        <w:contextualSpacing/>
        <w:rPr>
          <w:rFonts w:ascii="宋体" w:hAnsi="宋体" w:cs="宋体"/>
          <w:sz w:val="24"/>
          <w:shd w:val="clear" w:color="auto" w:fill="FFFFFF"/>
          <w:lang w:val="zh-CN"/>
        </w:rPr>
      </w:pPr>
      <w:r>
        <w:rPr>
          <w:rFonts w:hint="eastAsia" w:ascii="宋体" w:hAnsi="宋体" w:cs="宋体"/>
          <w:sz w:val="24"/>
          <w:shd w:val="clear" w:color="auto" w:fill="FFFFFF"/>
        </w:rPr>
        <w:t>（2）</w:t>
      </w:r>
      <w:r>
        <w:rPr>
          <w:rFonts w:hint="eastAsia" w:ascii="宋体" w:hAnsi="宋体" w:cs="宋体"/>
          <w:sz w:val="24"/>
          <w:shd w:val="clear" w:color="auto" w:fill="FFFFFF"/>
          <w:lang w:val="zh-CN"/>
        </w:rPr>
        <w:t>具有良好的商业信誉和健全的财务会计制度；</w:t>
      </w:r>
    </w:p>
    <w:p>
      <w:pPr>
        <w:adjustRightInd w:val="0"/>
        <w:spacing w:line="400" w:lineRule="exact"/>
        <w:ind w:right="-161" w:firstLine="480" w:firstLineChars="200"/>
        <w:contextualSpacing/>
        <w:rPr>
          <w:rFonts w:ascii="宋体" w:hAnsi="宋体" w:cs="宋体"/>
          <w:sz w:val="24"/>
          <w:shd w:val="clear" w:color="auto" w:fill="FFFFFF"/>
          <w:lang w:val="zh-CN"/>
        </w:rPr>
      </w:pPr>
      <w:r>
        <w:rPr>
          <w:rFonts w:hint="eastAsia" w:ascii="宋体" w:hAnsi="宋体" w:cs="宋体"/>
          <w:sz w:val="24"/>
          <w:shd w:val="clear" w:color="auto" w:fill="FFFFFF"/>
          <w:lang w:val="zh-CN"/>
        </w:rPr>
        <w:t>（</w:t>
      </w:r>
      <w:r>
        <w:rPr>
          <w:rFonts w:hint="eastAsia" w:ascii="宋体" w:hAnsi="宋体" w:cs="宋体"/>
          <w:sz w:val="24"/>
          <w:shd w:val="clear" w:color="auto" w:fill="FFFFFF"/>
        </w:rPr>
        <w:t>3</w:t>
      </w:r>
      <w:r>
        <w:rPr>
          <w:rFonts w:hint="eastAsia" w:ascii="宋体" w:hAnsi="宋体" w:cs="宋体"/>
          <w:sz w:val="24"/>
          <w:shd w:val="clear" w:color="auto" w:fill="FFFFFF"/>
          <w:lang w:val="zh-CN"/>
        </w:rPr>
        <w:t>）具有履行合同所必需的设备和专业技术能力；</w:t>
      </w:r>
    </w:p>
    <w:p>
      <w:pPr>
        <w:adjustRightInd w:val="0"/>
        <w:spacing w:line="400" w:lineRule="exact"/>
        <w:ind w:right="-161" w:firstLine="480" w:firstLineChars="200"/>
        <w:contextualSpacing/>
        <w:rPr>
          <w:rFonts w:ascii="宋体" w:hAnsi="宋体" w:cs="宋体"/>
          <w:sz w:val="24"/>
          <w:shd w:val="clear" w:color="auto" w:fill="FFFFFF"/>
          <w:lang w:val="zh-CN"/>
        </w:rPr>
      </w:pPr>
      <w:r>
        <w:rPr>
          <w:rFonts w:hint="eastAsia" w:ascii="宋体" w:hAnsi="宋体" w:cs="宋体"/>
          <w:sz w:val="24"/>
          <w:shd w:val="clear" w:color="auto" w:fill="FFFFFF"/>
          <w:lang w:val="zh-CN"/>
        </w:rPr>
        <w:t>（</w:t>
      </w:r>
      <w:r>
        <w:rPr>
          <w:rFonts w:hint="eastAsia" w:ascii="宋体" w:hAnsi="宋体" w:cs="宋体"/>
          <w:sz w:val="24"/>
          <w:shd w:val="clear" w:color="auto" w:fill="FFFFFF"/>
        </w:rPr>
        <w:t>4</w:t>
      </w:r>
      <w:r>
        <w:rPr>
          <w:rFonts w:hint="eastAsia" w:ascii="宋体" w:hAnsi="宋体" w:cs="宋体"/>
          <w:sz w:val="24"/>
          <w:shd w:val="clear" w:color="auto" w:fill="FFFFFF"/>
          <w:lang w:val="zh-CN"/>
        </w:rPr>
        <w:t>）具有电子与智能化工程专业承包二级</w:t>
      </w:r>
      <w:r>
        <w:rPr>
          <w:rFonts w:hint="eastAsia" w:ascii="宋体" w:hAnsi="宋体" w:cs="宋体"/>
          <w:sz w:val="24"/>
          <w:shd w:val="clear" w:color="auto" w:fill="FFFFFF"/>
        </w:rPr>
        <w:t>及</w:t>
      </w:r>
      <w:r>
        <w:rPr>
          <w:rFonts w:hint="eastAsia" w:ascii="宋体" w:hAnsi="宋体" w:cs="宋体"/>
          <w:sz w:val="24"/>
          <w:shd w:val="clear" w:color="auto" w:fill="FFFFFF"/>
          <w:lang w:val="zh-CN"/>
        </w:rPr>
        <w:t>以上</w:t>
      </w:r>
      <w:r>
        <w:fldChar w:fldCharType="begin"/>
      </w:r>
      <w:r>
        <w:instrText xml:space="preserve"> HYPERLINK "http://www.so.com/s?q=%E8%B5%84%E8%B4%A8&amp;ie=utf-8&amp;src=internal_wenda_recommend_textn" </w:instrText>
      </w:r>
      <w:r>
        <w:fldChar w:fldCharType="separate"/>
      </w:r>
      <w:r>
        <w:rPr>
          <w:rFonts w:hint="eastAsia" w:ascii="宋体" w:hAnsi="宋体" w:cs="宋体"/>
          <w:sz w:val="24"/>
          <w:shd w:val="clear" w:color="auto" w:fill="FFFFFF"/>
          <w:lang w:val="zh-CN"/>
        </w:rPr>
        <w:t>资质</w:t>
      </w:r>
      <w:r>
        <w:rPr>
          <w:rFonts w:hint="eastAsia" w:ascii="宋体" w:hAnsi="宋体" w:cs="宋体"/>
          <w:sz w:val="24"/>
          <w:shd w:val="clear" w:color="auto" w:fill="FFFFFF"/>
          <w:lang w:val="zh-CN"/>
        </w:rPr>
        <w:fldChar w:fldCharType="end"/>
      </w:r>
      <w:r>
        <w:rPr>
          <w:rFonts w:hint="eastAsia" w:ascii="宋体" w:hAnsi="宋体" w:cs="宋体"/>
          <w:sz w:val="24"/>
          <w:shd w:val="clear" w:color="auto" w:fill="FFFFFF"/>
          <w:lang w:val="zh-CN"/>
        </w:rPr>
        <w:t>证书；</w:t>
      </w:r>
    </w:p>
    <w:p>
      <w:pPr>
        <w:adjustRightInd w:val="0"/>
        <w:spacing w:line="400" w:lineRule="exact"/>
        <w:ind w:right="-161" w:firstLine="480" w:firstLineChars="200"/>
        <w:contextualSpacing/>
        <w:rPr>
          <w:rFonts w:ascii="宋体" w:hAnsi="宋体" w:cs="宋体"/>
          <w:sz w:val="24"/>
          <w:shd w:val="clear" w:color="auto" w:fill="FFFFFF"/>
          <w:lang w:val="zh-CN"/>
        </w:rPr>
      </w:pPr>
      <w:r>
        <w:rPr>
          <w:rFonts w:hint="eastAsia" w:ascii="宋体" w:hAnsi="宋体" w:cs="宋体"/>
          <w:sz w:val="24"/>
          <w:shd w:val="clear" w:color="auto" w:fill="FFFFFF"/>
          <w:lang w:val="zh-CN"/>
        </w:rPr>
        <w:t>（</w:t>
      </w:r>
      <w:r>
        <w:rPr>
          <w:rFonts w:hint="eastAsia" w:ascii="宋体" w:hAnsi="宋体" w:cs="宋体"/>
          <w:sz w:val="24"/>
          <w:shd w:val="clear" w:color="auto" w:fill="FFFFFF"/>
        </w:rPr>
        <w:t>5</w:t>
      </w:r>
      <w:r>
        <w:rPr>
          <w:rFonts w:hint="eastAsia" w:ascii="宋体" w:hAnsi="宋体" w:cs="宋体"/>
          <w:sz w:val="24"/>
          <w:shd w:val="clear" w:color="auto" w:fill="FFFFFF"/>
          <w:lang w:val="zh-CN"/>
        </w:rPr>
        <w:t>）有依法缴纳税收和社会保障资金的良好记录；</w:t>
      </w:r>
    </w:p>
    <w:p>
      <w:pPr>
        <w:adjustRightInd w:val="0"/>
        <w:spacing w:line="400" w:lineRule="exact"/>
        <w:ind w:right="-161" w:firstLine="480" w:firstLineChars="200"/>
        <w:contextualSpacing/>
        <w:rPr>
          <w:rFonts w:ascii="宋体" w:hAnsi="宋体" w:cs="宋体"/>
          <w:sz w:val="24"/>
          <w:shd w:val="clear" w:color="auto" w:fill="FFFFFF"/>
          <w:lang w:val="zh-CN"/>
        </w:rPr>
      </w:pPr>
      <w:r>
        <w:rPr>
          <w:rFonts w:hint="eastAsia" w:ascii="宋体" w:hAnsi="宋体" w:cs="宋体"/>
          <w:sz w:val="24"/>
          <w:shd w:val="clear" w:color="auto" w:fill="FFFFFF"/>
          <w:lang w:val="zh-CN"/>
        </w:rPr>
        <w:t>（</w:t>
      </w:r>
      <w:r>
        <w:rPr>
          <w:rFonts w:hint="eastAsia" w:ascii="宋体" w:hAnsi="宋体" w:cs="宋体"/>
          <w:sz w:val="24"/>
          <w:shd w:val="clear" w:color="auto" w:fill="FFFFFF"/>
        </w:rPr>
        <w:t>6</w:t>
      </w:r>
      <w:r>
        <w:rPr>
          <w:rFonts w:hint="eastAsia" w:ascii="宋体" w:hAnsi="宋体" w:cs="宋体"/>
          <w:sz w:val="24"/>
          <w:shd w:val="clear" w:color="auto" w:fill="FFFFFF"/>
          <w:lang w:val="zh-CN"/>
        </w:rPr>
        <w:t>）参加政府采购活动近三年内，在经营活动中没有重大违法记录；</w:t>
      </w:r>
    </w:p>
    <w:p>
      <w:pPr>
        <w:adjustRightInd w:val="0"/>
        <w:spacing w:line="400" w:lineRule="exact"/>
        <w:ind w:right="-161" w:firstLine="480" w:firstLineChars="200"/>
        <w:contextualSpacing/>
        <w:rPr>
          <w:rFonts w:ascii="宋体" w:hAnsi="宋体" w:cs="宋体"/>
          <w:sz w:val="24"/>
          <w:shd w:val="clear" w:color="auto" w:fill="FFFFFF"/>
          <w:lang w:val="zh-CN"/>
        </w:rPr>
      </w:pPr>
      <w:r>
        <w:rPr>
          <w:rFonts w:hint="eastAsia" w:ascii="宋体" w:hAnsi="宋体" w:cs="宋体"/>
          <w:sz w:val="24"/>
          <w:shd w:val="clear" w:color="auto" w:fill="FFFFFF"/>
          <w:lang w:val="zh-CN"/>
        </w:rPr>
        <w:t>（</w:t>
      </w:r>
      <w:r>
        <w:rPr>
          <w:rFonts w:hint="eastAsia" w:ascii="宋体" w:hAnsi="宋体" w:cs="宋体"/>
          <w:sz w:val="24"/>
          <w:shd w:val="clear" w:color="auto" w:fill="FFFFFF"/>
        </w:rPr>
        <w:t>7</w:t>
      </w:r>
      <w:r>
        <w:rPr>
          <w:rFonts w:hint="eastAsia" w:ascii="宋体" w:hAnsi="宋体" w:cs="宋体"/>
          <w:sz w:val="24"/>
          <w:shd w:val="clear" w:color="auto" w:fill="FFFFFF"/>
          <w:lang w:val="zh-CN"/>
        </w:rPr>
        <w:t>）法律、行政法规规定的其他条件。</w:t>
      </w:r>
    </w:p>
    <w:p>
      <w:pPr>
        <w:adjustRightInd w:val="0"/>
        <w:spacing w:line="400" w:lineRule="exact"/>
        <w:ind w:right="-161" w:firstLine="480" w:firstLineChars="200"/>
        <w:contextualSpacing/>
        <w:rPr>
          <w:rFonts w:ascii="宋体" w:hAnsi="宋体" w:cs="宋体"/>
          <w:sz w:val="24"/>
          <w:shd w:val="clear" w:color="auto" w:fill="FFFFFF"/>
        </w:rPr>
      </w:pPr>
      <w:r>
        <w:rPr>
          <w:rFonts w:hint="eastAsia" w:ascii="宋体" w:hAnsi="宋体" w:cs="宋体"/>
          <w:sz w:val="24"/>
          <w:shd w:val="clear" w:color="auto" w:fill="FFFFFF"/>
        </w:rPr>
        <w:t>（8）不接受联合体</w:t>
      </w:r>
    </w:p>
    <w:p>
      <w:pPr>
        <w:spacing w:line="360" w:lineRule="auto"/>
        <w:rPr>
          <w:rFonts w:ascii="宋体" w:hAnsi="宋体"/>
          <w:sz w:val="24"/>
        </w:rPr>
      </w:pPr>
      <w:r>
        <w:rPr>
          <w:rFonts w:hint="eastAsia" w:ascii="宋体" w:hAnsi="宋体"/>
          <w:sz w:val="24"/>
        </w:rPr>
        <w:t>　　上述资料复印件须加盖公章，一次性递交，不接受补充资料。</w:t>
      </w:r>
    </w:p>
    <w:p>
      <w:pPr>
        <w:spacing w:line="360" w:lineRule="auto"/>
        <w:ind w:firstLine="352" w:firstLineChars="147"/>
        <w:outlineLvl w:val="0"/>
        <w:rPr>
          <w:rFonts w:ascii="宋体" w:hAnsi="宋体"/>
          <w:sz w:val="24"/>
        </w:rPr>
      </w:pPr>
      <w:r>
        <w:rPr>
          <w:rFonts w:hint="eastAsia" w:ascii="宋体" w:hAnsi="宋体"/>
          <w:sz w:val="24"/>
        </w:rPr>
        <w:t>九</w:t>
      </w:r>
      <w:r>
        <w:rPr>
          <w:rFonts w:ascii="宋体" w:hAnsi="宋体"/>
          <w:sz w:val="24"/>
        </w:rPr>
        <w:t>、投标须知及投标文件说明</w:t>
      </w:r>
    </w:p>
    <w:p>
      <w:pPr>
        <w:spacing w:line="360" w:lineRule="auto"/>
        <w:ind w:firstLine="235" w:firstLineChars="98"/>
        <w:rPr>
          <w:rFonts w:ascii="宋体" w:hAnsi="宋体"/>
          <w:sz w:val="24"/>
        </w:rPr>
      </w:pPr>
      <w:r>
        <w:rPr>
          <w:rFonts w:hint="eastAsia" w:ascii="宋体" w:hAnsi="宋体"/>
          <w:sz w:val="24"/>
        </w:rPr>
        <w:t>（一）投标文件的组成</w:t>
      </w:r>
    </w:p>
    <w:p>
      <w:pPr>
        <w:numPr>
          <w:ilvl w:val="0"/>
          <w:numId w:val="1"/>
        </w:numPr>
        <w:spacing w:line="360" w:lineRule="auto"/>
        <w:rPr>
          <w:rFonts w:ascii="宋体" w:hAnsi="宋体"/>
          <w:sz w:val="24"/>
        </w:rPr>
      </w:pPr>
      <w:r>
        <w:rPr>
          <w:rFonts w:hint="eastAsia"/>
          <w:sz w:val="24"/>
        </w:rPr>
        <w:t>投标人需</w:t>
      </w:r>
      <w:r>
        <w:rPr>
          <w:rFonts w:hint="eastAsia" w:ascii="宋体" w:hAnsi="宋体"/>
          <w:sz w:val="24"/>
        </w:rPr>
        <w:t>提交</w:t>
      </w:r>
      <w:r>
        <w:rPr>
          <w:rFonts w:hint="eastAsia" w:ascii="宋体" w:hAnsi="宋体" w:cs="宋体"/>
          <w:shd w:val="clear" w:color="auto" w:fill="FFFFFF"/>
        </w:rPr>
        <w:t>招</w:t>
      </w:r>
      <w:r>
        <w:rPr>
          <w:rFonts w:hint="eastAsia" w:ascii="宋体" w:hAnsi="宋体"/>
          <w:sz w:val="24"/>
        </w:rPr>
        <w:t>标文件一式4份，其中正本1份，副本3份，如投标文件正本与副本有不同之处，以正本为准。</w:t>
      </w:r>
    </w:p>
    <w:p>
      <w:pPr>
        <w:numPr>
          <w:ilvl w:val="0"/>
          <w:numId w:val="1"/>
        </w:numPr>
        <w:spacing w:line="360" w:lineRule="auto"/>
        <w:rPr>
          <w:rFonts w:ascii="宋体" w:hAnsi="宋体"/>
          <w:sz w:val="24"/>
        </w:rPr>
      </w:pPr>
      <w:r>
        <w:rPr>
          <w:rFonts w:hint="eastAsia" w:ascii="宋体" w:hAnsi="宋体"/>
          <w:sz w:val="24"/>
        </w:rPr>
        <w:t>投标文件正本须打印并由投标人的法定代表人或授权人签字并加盖单位公章。副本</w:t>
      </w:r>
    </w:p>
    <w:p>
      <w:pPr>
        <w:spacing w:line="360" w:lineRule="auto"/>
        <w:rPr>
          <w:rFonts w:ascii="宋体" w:hAnsi="宋体"/>
          <w:sz w:val="24"/>
        </w:rPr>
      </w:pPr>
      <w:r>
        <w:rPr>
          <w:rFonts w:hint="eastAsia" w:ascii="宋体" w:hAnsi="宋体"/>
          <w:sz w:val="24"/>
        </w:rPr>
        <w:t>可复印，但须加盖单位公章。</w:t>
      </w:r>
    </w:p>
    <w:p>
      <w:pPr>
        <w:numPr>
          <w:ilvl w:val="0"/>
          <w:numId w:val="1"/>
        </w:numPr>
        <w:spacing w:line="360" w:lineRule="auto"/>
        <w:rPr>
          <w:rFonts w:ascii="宋体" w:hAnsi="宋体"/>
          <w:sz w:val="24"/>
        </w:rPr>
      </w:pPr>
      <w:r>
        <w:rPr>
          <w:rFonts w:hint="eastAsia"/>
          <w:sz w:val="24"/>
        </w:rPr>
        <w:t>投标文件正本与副本均应使用</w:t>
      </w:r>
      <w:r>
        <w:rPr>
          <w:sz w:val="24"/>
        </w:rPr>
        <w:t>A4</w:t>
      </w:r>
      <w:r>
        <w:rPr>
          <w:rFonts w:hint="eastAsia"/>
          <w:sz w:val="24"/>
        </w:rPr>
        <w:t>型纸打印并装订。</w:t>
      </w:r>
    </w:p>
    <w:p>
      <w:pPr>
        <w:numPr>
          <w:ilvl w:val="0"/>
          <w:numId w:val="1"/>
        </w:numPr>
        <w:spacing w:line="360" w:lineRule="auto"/>
        <w:rPr>
          <w:sz w:val="24"/>
        </w:rPr>
      </w:pPr>
      <w:r>
        <w:rPr>
          <w:rFonts w:hint="eastAsia"/>
          <w:sz w:val="24"/>
        </w:rPr>
        <w:t>投标文件不应有涂改、增删之处，但如有错误必须修改时，修改处必须由原授权代</w:t>
      </w:r>
    </w:p>
    <w:p>
      <w:pPr>
        <w:spacing w:line="360" w:lineRule="auto"/>
        <w:rPr>
          <w:sz w:val="24"/>
        </w:rPr>
      </w:pPr>
      <w:r>
        <w:rPr>
          <w:rFonts w:hint="eastAsia"/>
          <w:sz w:val="24"/>
        </w:rPr>
        <w:t>表签署。</w:t>
      </w:r>
    </w:p>
    <w:p>
      <w:pPr>
        <w:numPr>
          <w:ilvl w:val="0"/>
          <w:numId w:val="1"/>
        </w:numPr>
        <w:spacing w:line="360" w:lineRule="auto"/>
        <w:rPr>
          <w:rFonts w:ascii="宋体" w:hAnsi="宋体"/>
          <w:sz w:val="24"/>
        </w:rPr>
      </w:pPr>
      <w:r>
        <w:rPr>
          <w:rFonts w:hint="eastAsia" w:ascii="宋体" w:hAnsi="宋体"/>
          <w:sz w:val="24"/>
        </w:rPr>
        <w:t>密封后应标明招标文件项目名称、项目编号、边缝处加盖单位骑缝章或骑缝签字，</w:t>
      </w:r>
    </w:p>
    <w:p>
      <w:pPr>
        <w:spacing w:line="360" w:lineRule="auto"/>
        <w:rPr>
          <w:rFonts w:ascii="宋体" w:hAnsi="宋体"/>
          <w:sz w:val="24"/>
        </w:rPr>
      </w:pPr>
      <w:r>
        <w:rPr>
          <w:rFonts w:hint="eastAsia" w:ascii="宋体" w:hAnsi="宋体"/>
          <w:sz w:val="24"/>
        </w:rPr>
        <w:t>并注明于开标前不得启封。</w:t>
      </w:r>
    </w:p>
    <w:p>
      <w:pPr>
        <w:spacing w:line="360" w:lineRule="auto"/>
        <w:ind w:firstLine="480"/>
        <w:rPr>
          <w:rFonts w:ascii="宋体" w:hAnsi="宋体"/>
          <w:sz w:val="24"/>
        </w:rPr>
      </w:pPr>
      <w:r>
        <w:rPr>
          <w:rFonts w:ascii="宋体" w:hAnsi="宋体"/>
          <w:sz w:val="24"/>
        </w:rPr>
        <w:t>所有投标文件都必须按招标方在投标规定的投标时间送至招标方。招标方将拒绝在投标截止时间后收到的投标文件。</w:t>
      </w:r>
    </w:p>
    <w:p>
      <w:pPr>
        <w:spacing w:line="360" w:lineRule="auto"/>
        <w:ind w:firstLine="352" w:firstLineChars="147"/>
        <w:rPr>
          <w:rFonts w:ascii="宋体" w:hAnsi="宋体"/>
          <w:sz w:val="24"/>
        </w:rPr>
      </w:pPr>
      <w:r>
        <w:rPr>
          <w:rFonts w:hint="eastAsia" w:ascii="宋体" w:hAnsi="宋体"/>
          <w:sz w:val="24"/>
        </w:rPr>
        <w:t>（二）技术标部分</w:t>
      </w:r>
    </w:p>
    <w:p>
      <w:pPr>
        <w:spacing w:line="360" w:lineRule="auto"/>
        <w:ind w:firstLine="480" w:firstLineChars="200"/>
        <w:rPr>
          <w:rFonts w:ascii="宋体" w:hAnsi="宋体"/>
          <w:sz w:val="24"/>
        </w:rPr>
      </w:pPr>
      <w:r>
        <w:rPr>
          <w:rFonts w:hint="eastAsia" w:ascii="宋体" w:hAnsi="宋体"/>
          <w:sz w:val="24"/>
        </w:rPr>
        <w:t>1.投标书文件清单及页码索引、投标声明、廉政承诺书。</w:t>
      </w:r>
    </w:p>
    <w:p>
      <w:pPr>
        <w:spacing w:line="360" w:lineRule="auto"/>
        <w:ind w:firstLine="480" w:firstLineChars="200"/>
        <w:rPr>
          <w:rFonts w:ascii="宋体" w:hAnsi="宋体"/>
          <w:sz w:val="24"/>
        </w:rPr>
      </w:pPr>
      <w:r>
        <w:rPr>
          <w:rFonts w:hint="eastAsia" w:ascii="宋体" w:hAnsi="宋体"/>
          <w:sz w:val="24"/>
        </w:rPr>
        <w:t>2.法定代表人有效身份证复印件、法定代表人委托书及有效身份证复印件（如是法定代表人投标，不用此委托书;法定代表委托人需为投标本公司正式员工，并出示近一年的职工社会保障资金缴纳证明并加盖公司公章）。</w:t>
      </w:r>
    </w:p>
    <w:p>
      <w:pPr>
        <w:spacing w:line="360" w:lineRule="auto"/>
        <w:ind w:firstLine="480" w:firstLineChars="200"/>
        <w:rPr>
          <w:rFonts w:ascii="宋体" w:hAnsi="宋体"/>
          <w:sz w:val="24"/>
        </w:rPr>
      </w:pPr>
      <w:r>
        <w:rPr>
          <w:rFonts w:hint="eastAsia" w:ascii="宋体" w:hAnsi="宋体"/>
          <w:sz w:val="24"/>
        </w:rPr>
        <w:t>3.企业营业执照复印件。</w:t>
      </w:r>
    </w:p>
    <w:p>
      <w:pPr>
        <w:spacing w:line="360" w:lineRule="auto"/>
        <w:ind w:firstLine="480" w:firstLineChars="200"/>
        <w:jc w:val="left"/>
        <w:rPr>
          <w:rFonts w:ascii="宋体" w:hAnsi="宋体"/>
          <w:sz w:val="24"/>
        </w:rPr>
      </w:pPr>
      <w:r>
        <w:rPr>
          <w:rFonts w:hint="eastAsia" w:ascii="宋体" w:hAnsi="宋体"/>
          <w:sz w:val="24"/>
        </w:rPr>
        <w:t>4.提供近一年依法缴纳职工社会保障资金的证明材料(社会保险基金管理部门出具的缴款凭证或缴款证明原件，复印件需加盖投标单位公章)。</w:t>
      </w:r>
    </w:p>
    <w:p>
      <w:pPr>
        <w:spacing w:line="360" w:lineRule="auto"/>
        <w:ind w:firstLine="480" w:firstLineChars="200"/>
        <w:jc w:val="left"/>
        <w:rPr>
          <w:rFonts w:ascii="宋体" w:hAnsi="宋体"/>
          <w:sz w:val="24"/>
        </w:rPr>
      </w:pPr>
      <w:r>
        <w:rPr>
          <w:rFonts w:hint="eastAsia" w:ascii="宋体" w:hAnsi="宋体"/>
          <w:sz w:val="24"/>
        </w:rPr>
        <w:t>5.其它应提供的文件。</w:t>
      </w:r>
    </w:p>
    <w:p>
      <w:pPr>
        <w:spacing w:line="360" w:lineRule="auto"/>
        <w:ind w:firstLine="235" w:firstLineChars="98"/>
        <w:rPr>
          <w:rFonts w:ascii="宋体" w:hAnsi="宋体"/>
          <w:sz w:val="24"/>
        </w:rPr>
      </w:pPr>
      <w:r>
        <w:rPr>
          <w:rFonts w:hint="eastAsia" w:ascii="宋体" w:hAnsi="宋体"/>
          <w:sz w:val="24"/>
        </w:rPr>
        <w:t>（三）</w:t>
      </w:r>
      <w:r>
        <w:rPr>
          <w:rFonts w:ascii="宋体" w:hAnsi="宋体"/>
          <w:sz w:val="24"/>
        </w:rPr>
        <w:t>商务标部分</w:t>
      </w:r>
    </w:p>
    <w:p>
      <w:pPr>
        <w:spacing w:line="360" w:lineRule="auto"/>
        <w:ind w:firstLine="480"/>
        <w:rPr>
          <w:rFonts w:ascii="宋体" w:hAnsi="宋体"/>
          <w:sz w:val="24"/>
        </w:rPr>
      </w:pPr>
      <w:r>
        <w:rPr>
          <w:rFonts w:ascii="宋体" w:hAnsi="宋体"/>
          <w:sz w:val="24"/>
        </w:rPr>
        <w:t>投标</w:t>
      </w:r>
      <w:r>
        <w:rPr>
          <w:rFonts w:hint="eastAsia" w:ascii="宋体" w:hAnsi="宋体"/>
          <w:sz w:val="24"/>
        </w:rPr>
        <w:t>方</w:t>
      </w:r>
      <w:r>
        <w:rPr>
          <w:rFonts w:ascii="宋体" w:hAnsi="宋体"/>
          <w:sz w:val="24"/>
        </w:rPr>
        <w:t>报价</w:t>
      </w:r>
      <w:r>
        <w:rPr>
          <w:rFonts w:hint="eastAsia" w:ascii="宋体" w:hAnsi="宋体"/>
          <w:sz w:val="24"/>
        </w:rPr>
        <w:t>为二年维保的</w:t>
      </w:r>
      <w:r>
        <w:rPr>
          <w:rFonts w:ascii="宋体" w:hAnsi="宋体"/>
          <w:sz w:val="24"/>
        </w:rPr>
        <w:t>全部费用</w:t>
      </w:r>
    </w:p>
    <w:p>
      <w:pPr>
        <w:spacing w:line="360" w:lineRule="auto"/>
        <w:ind w:firstLine="352" w:firstLineChars="147"/>
        <w:rPr>
          <w:rFonts w:ascii="宋体" w:hAnsi="宋体"/>
          <w:sz w:val="24"/>
        </w:rPr>
      </w:pPr>
      <w:r>
        <w:rPr>
          <w:rFonts w:hint="eastAsia" w:ascii="宋体" w:hAnsi="宋体"/>
          <w:sz w:val="24"/>
        </w:rPr>
        <w:t>十二、项目期限</w:t>
      </w:r>
    </w:p>
    <w:p>
      <w:pPr>
        <w:spacing w:line="360" w:lineRule="auto"/>
        <w:ind w:firstLine="480" w:firstLineChars="200"/>
        <w:jc w:val="left"/>
        <w:rPr>
          <w:rFonts w:ascii="宋体" w:hAnsi="宋体"/>
          <w:sz w:val="24"/>
        </w:rPr>
      </w:pPr>
      <w:r>
        <w:rPr>
          <w:rFonts w:hint="eastAsia" w:ascii="宋体" w:hAnsi="宋体"/>
          <w:sz w:val="24"/>
        </w:rPr>
        <w:t>合同期限为</w:t>
      </w:r>
      <w:r>
        <w:rPr>
          <w:rFonts w:hint="eastAsia" w:ascii="宋体" w:hAnsi="宋体"/>
          <w:sz w:val="24"/>
          <w:u w:val="single"/>
        </w:rPr>
        <w:t>二</w:t>
      </w:r>
      <w:r>
        <w:rPr>
          <w:rFonts w:hint="eastAsia" w:ascii="宋体" w:hAnsi="宋体"/>
          <w:sz w:val="24"/>
        </w:rPr>
        <w:t>年。</w:t>
      </w:r>
    </w:p>
    <w:p>
      <w:pPr>
        <w:spacing w:line="360" w:lineRule="auto"/>
        <w:jc w:val="center"/>
        <w:rPr>
          <w:rFonts w:ascii="宋体" w:hAnsi="宋体"/>
          <w:sz w:val="24"/>
        </w:rPr>
      </w:pPr>
    </w:p>
    <w:p>
      <w:pPr>
        <w:pStyle w:val="3"/>
        <w:ind w:left="-141" w:leftChars="-67" w:firstLine="2632" w:firstLineChars="940"/>
        <w:rPr>
          <w:b w:val="0"/>
          <w:sz w:val="28"/>
          <w:szCs w:val="28"/>
        </w:rPr>
      </w:pPr>
    </w:p>
    <w:p>
      <w:pPr>
        <w:pStyle w:val="3"/>
        <w:ind w:left="-141" w:leftChars="-67" w:firstLine="2632" w:firstLineChars="940"/>
        <w:rPr>
          <w:b w:val="0"/>
          <w:sz w:val="28"/>
          <w:szCs w:val="28"/>
        </w:rPr>
      </w:pPr>
    </w:p>
    <w:p>
      <w:pPr>
        <w:pStyle w:val="3"/>
        <w:ind w:left="-141" w:leftChars="-67" w:firstLine="2632" w:firstLineChars="940"/>
        <w:rPr>
          <w:b w:val="0"/>
          <w:sz w:val="28"/>
          <w:szCs w:val="28"/>
        </w:rPr>
      </w:pPr>
    </w:p>
    <w:p>
      <w:pPr>
        <w:pStyle w:val="3"/>
        <w:ind w:left="-141" w:leftChars="-67" w:firstLine="2632" w:firstLineChars="940"/>
        <w:rPr>
          <w:b w:val="0"/>
          <w:sz w:val="28"/>
          <w:szCs w:val="28"/>
        </w:rPr>
      </w:pPr>
      <w:r>
        <w:rPr>
          <w:b w:val="0"/>
          <w:sz w:val="28"/>
          <w:szCs w:val="28"/>
        </w:rPr>
        <w:t xml:space="preserve">第二部分  </w:t>
      </w:r>
      <w:r>
        <w:rPr>
          <w:rFonts w:hint="eastAsia"/>
          <w:b w:val="0"/>
          <w:sz w:val="28"/>
          <w:szCs w:val="28"/>
        </w:rPr>
        <w:t>项目要求及相关说明</w:t>
      </w:r>
    </w:p>
    <w:p/>
    <w:p>
      <w:pPr>
        <w:spacing w:line="360" w:lineRule="auto"/>
        <w:ind w:firstLine="470" w:firstLineChars="196"/>
        <w:rPr>
          <w:rFonts w:ascii="宋体" w:hAnsi="宋体"/>
          <w:sz w:val="24"/>
        </w:rPr>
      </w:pPr>
      <w:r>
        <w:rPr>
          <w:rFonts w:hint="eastAsia" w:ascii="宋体" w:hAnsi="宋体"/>
          <w:sz w:val="24"/>
        </w:rPr>
        <w:t>一、项目概况</w:t>
      </w:r>
    </w:p>
    <w:p>
      <w:pPr>
        <w:adjustRightInd w:val="0"/>
        <w:spacing w:line="400" w:lineRule="exact"/>
        <w:ind w:right="-161" w:firstLine="480" w:firstLineChars="200"/>
        <w:contextualSpacing/>
        <w:rPr>
          <w:szCs w:val="21"/>
        </w:rPr>
      </w:pPr>
      <w:r>
        <w:rPr>
          <w:rFonts w:hint="eastAsia" w:ascii="宋体" w:hAnsi="宋体"/>
          <w:sz w:val="24"/>
        </w:rPr>
        <w:t>苏州高新区人民医院安防系统由以下内容组成：视频</w:t>
      </w:r>
      <w:r>
        <w:rPr>
          <w:rFonts w:hint="eastAsia" w:ascii="宋体" w:hAnsi="宋体" w:cs="宋体"/>
          <w:sz w:val="24"/>
          <w:shd w:val="clear" w:color="auto" w:fill="FFFFFF"/>
          <w:lang w:val="zh-CN"/>
        </w:rPr>
        <w:t>监控系统；安防报警系统；无线对讲系统；BA系统；智能照明系统；室外管网；UPS及消控机房；</w:t>
      </w:r>
      <w:r>
        <w:rPr>
          <w:rFonts w:hint="eastAsia" w:ascii="宋体" w:hAnsi="宋体" w:cs="宋体"/>
          <w:sz w:val="24"/>
          <w:shd w:val="clear" w:color="auto" w:fill="FFFFFF"/>
        </w:rPr>
        <w:t>门禁一卡通系统等。</w:t>
      </w:r>
    </w:p>
    <w:p>
      <w:pPr>
        <w:spacing w:line="360" w:lineRule="auto"/>
        <w:ind w:firstLine="470" w:firstLineChars="196"/>
        <w:rPr>
          <w:rFonts w:ascii="宋体" w:hAnsi="宋体"/>
          <w:sz w:val="24"/>
        </w:rPr>
      </w:pPr>
      <w:r>
        <w:rPr>
          <w:rFonts w:hint="eastAsia" w:ascii="宋体" w:hAnsi="宋体"/>
          <w:sz w:val="24"/>
        </w:rPr>
        <w:t>二、需求一览表</w:t>
      </w:r>
    </w:p>
    <w:tbl>
      <w:tblPr>
        <w:tblStyle w:val="16"/>
        <w:tblW w:w="8520" w:type="dxa"/>
        <w:tblInd w:w="93" w:type="dxa"/>
        <w:tblLayout w:type="fixed"/>
        <w:tblCellMar>
          <w:top w:w="0" w:type="dxa"/>
          <w:left w:w="108" w:type="dxa"/>
          <w:bottom w:w="0" w:type="dxa"/>
          <w:right w:w="108" w:type="dxa"/>
        </w:tblCellMar>
      </w:tblPr>
      <w:tblGrid>
        <w:gridCol w:w="885"/>
        <w:gridCol w:w="1745"/>
        <w:gridCol w:w="4119"/>
        <w:gridCol w:w="885"/>
        <w:gridCol w:w="886"/>
      </w:tblGrid>
      <w:tr>
        <w:tblPrEx>
          <w:tblCellMar>
            <w:top w:w="0" w:type="dxa"/>
            <w:left w:w="108" w:type="dxa"/>
            <w:bottom w:w="0" w:type="dxa"/>
            <w:right w:w="108" w:type="dxa"/>
          </w:tblCellMar>
        </w:tblPrEx>
        <w:trPr>
          <w:trHeight w:val="690" w:hRule="atLeast"/>
        </w:trPr>
        <w:tc>
          <w:tcPr>
            <w:tcW w:w="8520" w:type="dxa"/>
            <w:gridSpan w:val="5"/>
            <w:tcBorders>
              <w:top w:val="nil"/>
              <w:left w:val="nil"/>
              <w:bottom w:val="nil"/>
              <w:right w:val="nil"/>
            </w:tcBorders>
            <w:shd w:val="clear" w:color="auto" w:fill="auto"/>
            <w:noWrap/>
            <w:vAlign w:val="center"/>
          </w:tcPr>
          <w:p>
            <w:pPr>
              <w:widowControl/>
              <w:jc w:val="center"/>
              <w:textAlignment w:val="center"/>
              <w:rPr>
                <w:rFonts w:ascii="宋体" w:hAnsi="宋体" w:cs="Arial"/>
                <w:b/>
                <w:bCs/>
                <w:color w:val="000000"/>
                <w:kern w:val="0"/>
                <w:sz w:val="32"/>
                <w:szCs w:val="32"/>
              </w:rPr>
            </w:pPr>
            <w:r>
              <w:rPr>
                <w:rFonts w:hint="eastAsia" w:ascii="宋体" w:hAnsi="宋体" w:cs="宋体"/>
                <w:b/>
                <w:bCs/>
                <w:color w:val="000000"/>
                <w:kern w:val="0"/>
                <w:sz w:val="32"/>
                <w:szCs w:val="32"/>
                <w:lang w:bidi="ar"/>
              </w:rPr>
              <w:t>苏州高新区人民医院二期扩建项目安防工程维保清单</w:t>
            </w:r>
          </w:p>
        </w:tc>
      </w:tr>
      <w:tr>
        <w:tblPrEx>
          <w:tblCellMar>
            <w:top w:w="0" w:type="dxa"/>
            <w:left w:w="108" w:type="dxa"/>
            <w:bottom w:w="0" w:type="dxa"/>
            <w:right w:w="108" w:type="dxa"/>
          </w:tblCellMar>
        </w:tblPrEx>
        <w:trPr>
          <w:trHeight w:val="590" w:hRule="atLeast"/>
        </w:trPr>
        <w:tc>
          <w:tcPr>
            <w:tcW w:w="885" w:type="dxa"/>
            <w:vMerge w:val="restart"/>
            <w:tcBorders>
              <w:top w:val="single" w:color="000000" w:sz="8" w:space="0"/>
              <w:left w:val="single" w:color="000000" w:sz="8" w:space="0"/>
              <w:bottom w:val="single" w:color="000000" w:sz="8" w:space="0"/>
              <w:right w:val="single" w:color="000000" w:sz="8" w:space="0"/>
            </w:tcBorders>
            <w:shd w:val="clear" w:color="FFFFFF" w:fill="FFFFFF"/>
            <w:vAlign w:val="center"/>
          </w:tcPr>
          <w:p>
            <w:pPr>
              <w:widowControl/>
              <w:jc w:val="center"/>
              <w:textAlignment w:val="center"/>
              <w:rPr>
                <w:rFonts w:ascii="黑体" w:hAnsi="黑体" w:eastAsia="黑体" w:cs="Arial"/>
                <w:color w:val="000000"/>
                <w:kern w:val="0"/>
                <w:szCs w:val="21"/>
              </w:rPr>
            </w:pPr>
            <w:r>
              <w:rPr>
                <w:rFonts w:hint="eastAsia" w:ascii="黑体" w:hAnsi="宋体" w:eastAsia="黑体" w:cs="黑体"/>
                <w:color w:val="000000"/>
                <w:kern w:val="0"/>
                <w:szCs w:val="21"/>
                <w:lang w:bidi="ar"/>
              </w:rPr>
              <w:t>序号</w:t>
            </w:r>
          </w:p>
        </w:tc>
        <w:tc>
          <w:tcPr>
            <w:tcW w:w="1745" w:type="dxa"/>
            <w:vMerge w:val="restart"/>
            <w:tcBorders>
              <w:top w:val="single" w:color="000000" w:sz="8" w:space="0"/>
              <w:left w:val="nil"/>
              <w:bottom w:val="single" w:color="000000" w:sz="8" w:space="0"/>
              <w:right w:val="single" w:color="000000" w:sz="8" w:space="0"/>
            </w:tcBorders>
            <w:shd w:val="clear" w:color="FFFFFF" w:fill="FFFFFF"/>
            <w:vAlign w:val="center"/>
          </w:tcPr>
          <w:p>
            <w:pPr>
              <w:widowControl/>
              <w:jc w:val="center"/>
              <w:textAlignment w:val="center"/>
              <w:rPr>
                <w:rFonts w:ascii="黑体" w:hAnsi="黑体" w:eastAsia="黑体" w:cs="Arial"/>
                <w:color w:val="000000"/>
                <w:kern w:val="0"/>
                <w:szCs w:val="21"/>
              </w:rPr>
            </w:pPr>
            <w:r>
              <w:rPr>
                <w:rFonts w:hint="eastAsia" w:ascii="黑体" w:hAnsi="宋体" w:eastAsia="黑体" w:cs="黑体"/>
                <w:color w:val="000000"/>
                <w:kern w:val="0"/>
                <w:szCs w:val="21"/>
                <w:lang w:bidi="ar"/>
              </w:rPr>
              <w:t>项目名称</w:t>
            </w:r>
          </w:p>
        </w:tc>
        <w:tc>
          <w:tcPr>
            <w:tcW w:w="4119" w:type="dxa"/>
            <w:vMerge w:val="restart"/>
            <w:tcBorders>
              <w:top w:val="single" w:color="000000" w:sz="8" w:space="0"/>
              <w:left w:val="nil"/>
              <w:bottom w:val="single" w:color="000000" w:sz="8" w:space="0"/>
              <w:right w:val="single" w:color="000000" w:sz="8" w:space="0"/>
            </w:tcBorders>
            <w:shd w:val="clear" w:color="FFFFFF" w:fill="FFFFFF"/>
            <w:vAlign w:val="center"/>
          </w:tcPr>
          <w:p>
            <w:pPr>
              <w:widowControl/>
              <w:jc w:val="center"/>
              <w:textAlignment w:val="center"/>
              <w:rPr>
                <w:rFonts w:ascii="黑体" w:hAnsi="黑体" w:eastAsia="黑体" w:cs="Arial"/>
                <w:color w:val="000000"/>
                <w:kern w:val="0"/>
                <w:szCs w:val="21"/>
              </w:rPr>
            </w:pPr>
            <w:r>
              <w:rPr>
                <w:rFonts w:hint="eastAsia" w:ascii="黑体" w:hAnsi="宋体" w:eastAsia="黑体" w:cs="黑体"/>
                <w:color w:val="000000"/>
                <w:kern w:val="0"/>
                <w:szCs w:val="21"/>
                <w:lang w:bidi="ar"/>
              </w:rPr>
              <w:t>项目特征描述</w:t>
            </w:r>
          </w:p>
        </w:tc>
        <w:tc>
          <w:tcPr>
            <w:tcW w:w="885" w:type="dxa"/>
            <w:tcBorders>
              <w:top w:val="single" w:color="000000" w:sz="8" w:space="0"/>
              <w:left w:val="nil"/>
              <w:bottom w:val="single" w:color="000000" w:sz="8" w:space="0"/>
              <w:right w:val="single" w:color="000000" w:sz="8" w:space="0"/>
            </w:tcBorders>
            <w:shd w:val="clear" w:color="FFFFFF" w:fill="FFFFFF"/>
            <w:vAlign w:val="center"/>
          </w:tcPr>
          <w:p>
            <w:pPr>
              <w:widowControl/>
              <w:jc w:val="center"/>
              <w:textAlignment w:val="center"/>
              <w:rPr>
                <w:rFonts w:ascii="黑体" w:hAnsi="黑体" w:eastAsia="黑体" w:cs="Arial"/>
                <w:color w:val="000000"/>
                <w:kern w:val="0"/>
                <w:szCs w:val="21"/>
              </w:rPr>
            </w:pPr>
            <w:r>
              <w:rPr>
                <w:rFonts w:hint="eastAsia" w:ascii="黑体" w:hAnsi="宋体" w:eastAsia="黑体" w:cs="黑体"/>
                <w:color w:val="000000"/>
                <w:kern w:val="0"/>
                <w:szCs w:val="21"/>
                <w:lang w:bidi="ar"/>
              </w:rPr>
              <w:t>计量</w:t>
            </w:r>
          </w:p>
        </w:tc>
        <w:tc>
          <w:tcPr>
            <w:tcW w:w="886" w:type="dxa"/>
            <w:vMerge w:val="restart"/>
            <w:tcBorders>
              <w:top w:val="single" w:color="000000" w:sz="8" w:space="0"/>
              <w:left w:val="nil"/>
              <w:bottom w:val="single" w:color="000000" w:sz="8" w:space="0"/>
              <w:right w:val="single" w:color="000000" w:sz="8" w:space="0"/>
            </w:tcBorders>
            <w:shd w:val="clear" w:color="FFFFFF" w:fill="FFFFFF"/>
            <w:vAlign w:val="center"/>
          </w:tcPr>
          <w:p>
            <w:pPr>
              <w:widowControl/>
              <w:jc w:val="center"/>
              <w:textAlignment w:val="center"/>
              <w:rPr>
                <w:rFonts w:ascii="黑体" w:hAnsi="黑体" w:eastAsia="黑体" w:cs="Arial"/>
                <w:color w:val="000000"/>
                <w:kern w:val="0"/>
                <w:szCs w:val="21"/>
              </w:rPr>
            </w:pPr>
            <w:r>
              <w:rPr>
                <w:rFonts w:hint="eastAsia" w:ascii="黑体" w:hAnsi="宋体" w:eastAsia="黑体" w:cs="黑体"/>
                <w:color w:val="000000"/>
                <w:kern w:val="0"/>
                <w:szCs w:val="21"/>
                <w:lang w:bidi="ar"/>
              </w:rPr>
              <w:t>工程量</w:t>
            </w:r>
          </w:p>
        </w:tc>
      </w:tr>
      <w:tr>
        <w:tblPrEx>
          <w:tblCellMar>
            <w:top w:w="0" w:type="dxa"/>
            <w:left w:w="108" w:type="dxa"/>
            <w:bottom w:w="0" w:type="dxa"/>
            <w:right w:w="108" w:type="dxa"/>
          </w:tblCellMar>
        </w:tblPrEx>
        <w:trPr>
          <w:trHeight w:val="527" w:hRule="atLeast"/>
        </w:trPr>
        <w:tc>
          <w:tcPr>
            <w:tcW w:w="885"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ascii="宋体" w:hAnsi="宋体" w:cs="Arial"/>
                <w:color w:val="000000"/>
                <w:kern w:val="0"/>
                <w:szCs w:val="21"/>
              </w:rPr>
            </w:pPr>
          </w:p>
        </w:tc>
        <w:tc>
          <w:tcPr>
            <w:tcW w:w="1745"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pPr>
          </w:p>
        </w:tc>
        <w:tc>
          <w:tcPr>
            <w:tcW w:w="4119"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pPr>
          </w:p>
        </w:tc>
        <w:tc>
          <w:tcPr>
            <w:tcW w:w="885"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pPr>
            <w:r>
              <w:rPr>
                <w:rFonts w:hint="eastAsia" w:ascii="黑体" w:hAnsi="宋体" w:eastAsia="黑体" w:cs="黑体"/>
                <w:color w:val="000000"/>
                <w:kern w:val="0"/>
                <w:szCs w:val="21"/>
                <w:lang w:bidi="ar"/>
              </w:rPr>
              <w:t>单位</w:t>
            </w:r>
          </w:p>
        </w:tc>
        <w:tc>
          <w:tcPr>
            <w:tcW w:w="88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pPr>
          </w:p>
        </w:tc>
      </w:tr>
      <w:tr>
        <w:tblPrEx>
          <w:tblCellMar>
            <w:top w:w="0" w:type="dxa"/>
            <w:left w:w="108" w:type="dxa"/>
            <w:bottom w:w="0" w:type="dxa"/>
            <w:right w:w="108" w:type="dxa"/>
          </w:tblCellMar>
        </w:tblPrEx>
        <w:trPr>
          <w:trHeight w:val="450" w:hRule="atLeast"/>
        </w:trPr>
        <w:tc>
          <w:tcPr>
            <w:tcW w:w="8520" w:type="dxa"/>
            <w:gridSpan w:val="5"/>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 w:val="32"/>
                <w:szCs w:val="32"/>
                <w:lang w:bidi="ar"/>
              </w:rPr>
              <w:t>视频监控系统</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1</w:t>
            </w:r>
          </w:p>
        </w:tc>
        <w:tc>
          <w:tcPr>
            <w:tcW w:w="1745"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系统软件</w:t>
            </w:r>
          </w:p>
        </w:tc>
        <w:tc>
          <w:tcPr>
            <w:tcW w:w="411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监管行业综合安防管理系统，博瑞康，SP9000</w:t>
            </w:r>
          </w:p>
        </w:tc>
        <w:tc>
          <w:tcPr>
            <w:tcW w:w="88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套</w:t>
            </w:r>
          </w:p>
        </w:tc>
        <w:tc>
          <w:tcPr>
            <w:tcW w:w="88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1</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2</w:t>
            </w:r>
          </w:p>
        </w:tc>
        <w:tc>
          <w:tcPr>
            <w:tcW w:w="1745"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控制设备</w:t>
            </w:r>
          </w:p>
        </w:tc>
        <w:tc>
          <w:tcPr>
            <w:tcW w:w="411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CMS集中管理主机，博瑞康，BRC8000</w:t>
            </w:r>
          </w:p>
        </w:tc>
        <w:tc>
          <w:tcPr>
            <w:tcW w:w="88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台</w:t>
            </w:r>
          </w:p>
        </w:tc>
        <w:tc>
          <w:tcPr>
            <w:tcW w:w="88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1</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3</w:t>
            </w:r>
          </w:p>
        </w:tc>
        <w:tc>
          <w:tcPr>
            <w:tcW w:w="1745"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系统软件</w:t>
            </w:r>
          </w:p>
        </w:tc>
        <w:tc>
          <w:tcPr>
            <w:tcW w:w="411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中心业务管理平台，博瑞康，BRC3000-24</w:t>
            </w:r>
          </w:p>
        </w:tc>
        <w:tc>
          <w:tcPr>
            <w:tcW w:w="88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套</w:t>
            </w:r>
          </w:p>
        </w:tc>
        <w:tc>
          <w:tcPr>
            <w:tcW w:w="88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10</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4</w:t>
            </w:r>
          </w:p>
        </w:tc>
        <w:tc>
          <w:tcPr>
            <w:tcW w:w="1745"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软件</w:t>
            </w:r>
          </w:p>
        </w:tc>
        <w:tc>
          <w:tcPr>
            <w:tcW w:w="411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管理软件，博瑞康，SP-SMT</w:t>
            </w:r>
          </w:p>
        </w:tc>
        <w:tc>
          <w:tcPr>
            <w:tcW w:w="88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套</w:t>
            </w:r>
          </w:p>
        </w:tc>
        <w:tc>
          <w:tcPr>
            <w:tcW w:w="88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1</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5</w:t>
            </w:r>
          </w:p>
        </w:tc>
        <w:tc>
          <w:tcPr>
            <w:tcW w:w="1745"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输入设备</w:t>
            </w:r>
          </w:p>
        </w:tc>
        <w:tc>
          <w:tcPr>
            <w:tcW w:w="411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4T监控级硬盘，希捷，ST4000VX000</w:t>
            </w:r>
          </w:p>
        </w:tc>
        <w:tc>
          <w:tcPr>
            <w:tcW w:w="88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台</w:t>
            </w:r>
          </w:p>
        </w:tc>
        <w:tc>
          <w:tcPr>
            <w:tcW w:w="88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280</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6</w:t>
            </w:r>
          </w:p>
        </w:tc>
        <w:tc>
          <w:tcPr>
            <w:tcW w:w="1745"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视频控制设备</w:t>
            </w:r>
          </w:p>
        </w:tc>
        <w:tc>
          <w:tcPr>
            <w:tcW w:w="411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高清数字矩阵，博瑞康，DM5006H</w:t>
            </w:r>
          </w:p>
        </w:tc>
        <w:tc>
          <w:tcPr>
            <w:tcW w:w="88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台(套)</w:t>
            </w:r>
          </w:p>
        </w:tc>
        <w:tc>
          <w:tcPr>
            <w:tcW w:w="88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9</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7</w:t>
            </w:r>
          </w:p>
        </w:tc>
        <w:tc>
          <w:tcPr>
            <w:tcW w:w="1745"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接口卡</w:t>
            </w:r>
          </w:p>
        </w:tc>
        <w:tc>
          <w:tcPr>
            <w:tcW w:w="411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中央控制单元，博瑞康，SP-BRC-MC</w:t>
            </w:r>
          </w:p>
        </w:tc>
        <w:tc>
          <w:tcPr>
            <w:tcW w:w="88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台(套)</w:t>
            </w:r>
          </w:p>
        </w:tc>
        <w:tc>
          <w:tcPr>
            <w:tcW w:w="88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1</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8</w:t>
            </w:r>
          </w:p>
        </w:tc>
        <w:tc>
          <w:tcPr>
            <w:tcW w:w="1745"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视频控制设备</w:t>
            </w:r>
          </w:p>
        </w:tc>
        <w:tc>
          <w:tcPr>
            <w:tcW w:w="411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视频浓缩主机，博瑞康，SP－VS</w:t>
            </w:r>
          </w:p>
        </w:tc>
        <w:tc>
          <w:tcPr>
            <w:tcW w:w="88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台(套)</w:t>
            </w:r>
          </w:p>
        </w:tc>
        <w:tc>
          <w:tcPr>
            <w:tcW w:w="88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1</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9</w:t>
            </w:r>
          </w:p>
        </w:tc>
        <w:tc>
          <w:tcPr>
            <w:tcW w:w="1745"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视频控制设备</w:t>
            </w:r>
          </w:p>
        </w:tc>
        <w:tc>
          <w:tcPr>
            <w:tcW w:w="411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视频点位主机，博瑞康，SP-VL</w:t>
            </w:r>
          </w:p>
        </w:tc>
        <w:tc>
          <w:tcPr>
            <w:tcW w:w="88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台(套)</w:t>
            </w:r>
          </w:p>
        </w:tc>
        <w:tc>
          <w:tcPr>
            <w:tcW w:w="88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1</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10</w:t>
            </w:r>
          </w:p>
        </w:tc>
        <w:tc>
          <w:tcPr>
            <w:tcW w:w="1745"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键盘</w:t>
            </w:r>
          </w:p>
        </w:tc>
        <w:tc>
          <w:tcPr>
            <w:tcW w:w="411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系统控制键盘，博瑞康，Joystick 10</w:t>
            </w:r>
          </w:p>
        </w:tc>
        <w:tc>
          <w:tcPr>
            <w:tcW w:w="88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个</w:t>
            </w:r>
          </w:p>
        </w:tc>
        <w:tc>
          <w:tcPr>
            <w:tcW w:w="88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1</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11</w:t>
            </w:r>
          </w:p>
        </w:tc>
        <w:tc>
          <w:tcPr>
            <w:tcW w:w="1745"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显示屏</w:t>
            </w:r>
          </w:p>
        </w:tc>
        <w:tc>
          <w:tcPr>
            <w:tcW w:w="411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46寸液晶拼接屏(5*8) ，赛普，SAM460MD06s</w:t>
            </w:r>
          </w:p>
        </w:tc>
        <w:tc>
          <w:tcPr>
            <w:tcW w:w="88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台(套)</w:t>
            </w:r>
          </w:p>
        </w:tc>
        <w:tc>
          <w:tcPr>
            <w:tcW w:w="88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40</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12</w:t>
            </w:r>
          </w:p>
        </w:tc>
        <w:tc>
          <w:tcPr>
            <w:tcW w:w="1745"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系统软件</w:t>
            </w:r>
          </w:p>
        </w:tc>
        <w:tc>
          <w:tcPr>
            <w:tcW w:w="411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系统总控软件，SmartScreen</w:t>
            </w:r>
          </w:p>
        </w:tc>
        <w:tc>
          <w:tcPr>
            <w:tcW w:w="88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套</w:t>
            </w:r>
          </w:p>
        </w:tc>
        <w:tc>
          <w:tcPr>
            <w:tcW w:w="88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1</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13</w:t>
            </w:r>
          </w:p>
        </w:tc>
        <w:tc>
          <w:tcPr>
            <w:tcW w:w="1745"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型钢及支架包铅</w:t>
            </w:r>
          </w:p>
        </w:tc>
        <w:tc>
          <w:tcPr>
            <w:tcW w:w="411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拼接屏机架，定制</w:t>
            </w:r>
          </w:p>
        </w:tc>
        <w:tc>
          <w:tcPr>
            <w:tcW w:w="88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m2</w:t>
            </w:r>
          </w:p>
        </w:tc>
        <w:tc>
          <w:tcPr>
            <w:tcW w:w="88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31</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14</w:t>
            </w:r>
          </w:p>
        </w:tc>
        <w:tc>
          <w:tcPr>
            <w:tcW w:w="1745"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显示屏</w:t>
            </w:r>
          </w:p>
        </w:tc>
        <w:tc>
          <w:tcPr>
            <w:tcW w:w="411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LED显示屏，美普御景，0.47*8.16，P3.75</w:t>
            </w:r>
          </w:p>
        </w:tc>
        <w:tc>
          <w:tcPr>
            <w:tcW w:w="88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m2</w:t>
            </w:r>
          </w:p>
        </w:tc>
        <w:tc>
          <w:tcPr>
            <w:tcW w:w="88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3.835</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15</w:t>
            </w:r>
          </w:p>
        </w:tc>
        <w:tc>
          <w:tcPr>
            <w:tcW w:w="1745"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监控摄像机</w:t>
            </w:r>
          </w:p>
        </w:tc>
        <w:tc>
          <w:tcPr>
            <w:tcW w:w="411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室外1080P网络红外球机，博瑞康，OSD-200A</w:t>
            </w:r>
          </w:p>
        </w:tc>
        <w:tc>
          <w:tcPr>
            <w:tcW w:w="88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台</w:t>
            </w:r>
          </w:p>
        </w:tc>
        <w:tc>
          <w:tcPr>
            <w:tcW w:w="88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9</w:t>
            </w:r>
          </w:p>
        </w:tc>
      </w:tr>
      <w:tr>
        <w:tblPrEx>
          <w:tblCellMar>
            <w:top w:w="0" w:type="dxa"/>
            <w:left w:w="108" w:type="dxa"/>
            <w:bottom w:w="0" w:type="dxa"/>
            <w:right w:w="108" w:type="dxa"/>
          </w:tblCellMar>
        </w:tblPrEx>
        <w:trPr>
          <w:trHeight w:val="528"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16</w:t>
            </w:r>
          </w:p>
        </w:tc>
        <w:tc>
          <w:tcPr>
            <w:tcW w:w="1745" w:type="dxa"/>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设备支架</w:t>
            </w:r>
          </w:p>
        </w:tc>
        <w:tc>
          <w:tcPr>
            <w:tcW w:w="4119" w:type="dxa"/>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球机支架，博瑞康，CI-810</w:t>
            </w:r>
          </w:p>
        </w:tc>
        <w:tc>
          <w:tcPr>
            <w:tcW w:w="885"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套</w:t>
            </w:r>
          </w:p>
        </w:tc>
        <w:tc>
          <w:tcPr>
            <w:tcW w:w="886" w:type="dxa"/>
            <w:tcBorders>
              <w:top w:val="nil"/>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9</w:t>
            </w:r>
          </w:p>
        </w:tc>
      </w:tr>
      <w:tr>
        <w:tblPrEx>
          <w:tblCellMar>
            <w:top w:w="0" w:type="dxa"/>
            <w:left w:w="108" w:type="dxa"/>
            <w:bottom w:w="0" w:type="dxa"/>
            <w:right w:w="108" w:type="dxa"/>
          </w:tblCellMar>
        </w:tblPrEx>
        <w:trPr>
          <w:trHeight w:val="528" w:hRule="atLeast"/>
        </w:trPr>
        <w:tc>
          <w:tcPr>
            <w:tcW w:w="885" w:type="dxa"/>
            <w:tcBorders>
              <w:top w:val="nil"/>
              <w:left w:val="single" w:color="000000" w:sz="8" w:space="0"/>
              <w:bottom w:val="single" w:color="000000" w:sz="4" w:space="0"/>
              <w:right w:val="single" w:color="000000" w:sz="4" w:space="0"/>
            </w:tcBorders>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17</w:t>
            </w:r>
          </w:p>
        </w:tc>
        <w:tc>
          <w:tcPr>
            <w:tcW w:w="1745" w:type="dxa"/>
            <w:tcBorders>
              <w:top w:val="nil"/>
              <w:left w:val="single" w:color="000000" w:sz="4" w:space="0"/>
              <w:bottom w:val="single" w:color="000000" w:sz="4" w:space="0"/>
              <w:right w:val="single" w:color="000000" w:sz="4" w:space="0"/>
            </w:tcBorders>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监控摄像机</w:t>
            </w:r>
          </w:p>
        </w:tc>
        <w:tc>
          <w:tcPr>
            <w:tcW w:w="4119" w:type="dxa"/>
            <w:tcBorders>
              <w:top w:val="nil"/>
              <w:left w:val="single" w:color="000000" w:sz="4" w:space="0"/>
              <w:bottom w:val="single" w:color="000000" w:sz="4" w:space="0"/>
              <w:right w:val="single" w:color="000000" w:sz="4" w:space="0"/>
            </w:tcBorders>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室外1080P高清枪机（三百万高清变焦镜头），博瑞康，FB-200A</w:t>
            </w:r>
          </w:p>
        </w:tc>
        <w:tc>
          <w:tcPr>
            <w:tcW w:w="885"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台</w:t>
            </w:r>
          </w:p>
        </w:tc>
        <w:tc>
          <w:tcPr>
            <w:tcW w:w="886" w:type="dxa"/>
            <w:tcBorders>
              <w:top w:val="nil"/>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33</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18</w:t>
            </w:r>
          </w:p>
        </w:tc>
        <w:tc>
          <w:tcPr>
            <w:tcW w:w="1745"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光端机主/备用自动转换设备</w:t>
            </w:r>
          </w:p>
        </w:tc>
        <w:tc>
          <w:tcPr>
            <w:tcW w:w="411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IP光端机，融科，DEF-1FE-1FSC20，单路</w:t>
            </w:r>
          </w:p>
        </w:tc>
        <w:tc>
          <w:tcPr>
            <w:tcW w:w="88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对</w:t>
            </w:r>
          </w:p>
        </w:tc>
        <w:tc>
          <w:tcPr>
            <w:tcW w:w="88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63</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19</w:t>
            </w:r>
          </w:p>
        </w:tc>
        <w:tc>
          <w:tcPr>
            <w:tcW w:w="1745"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交接箱</w:t>
            </w:r>
          </w:p>
        </w:tc>
        <w:tc>
          <w:tcPr>
            <w:tcW w:w="411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室外设备箱，室外防水</w:t>
            </w:r>
          </w:p>
        </w:tc>
        <w:tc>
          <w:tcPr>
            <w:tcW w:w="88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个</w:t>
            </w:r>
          </w:p>
        </w:tc>
        <w:tc>
          <w:tcPr>
            <w:tcW w:w="88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49</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20</w:t>
            </w:r>
          </w:p>
        </w:tc>
        <w:tc>
          <w:tcPr>
            <w:tcW w:w="1745"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监控立杆</w:t>
            </w:r>
          </w:p>
        </w:tc>
        <w:tc>
          <w:tcPr>
            <w:tcW w:w="411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监控立杆（含基础），2.8米高喷塑处理</w:t>
            </w:r>
          </w:p>
        </w:tc>
        <w:tc>
          <w:tcPr>
            <w:tcW w:w="88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根</w:t>
            </w:r>
          </w:p>
        </w:tc>
        <w:tc>
          <w:tcPr>
            <w:tcW w:w="88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39</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21</w:t>
            </w:r>
          </w:p>
        </w:tc>
        <w:tc>
          <w:tcPr>
            <w:tcW w:w="1745"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监控立杆</w:t>
            </w:r>
          </w:p>
        </w:tc>
        <w:tc>
          <w:tcPr>
            <w:tcW w:w="411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监控立杆（含基础），6米高喷塑处理</w:t>
            </w:r>
          </w:p>
        </w:tc>
        <w:tc>
          <w:tcPr>
            <w:tcW w:w="88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根</w:t>
            </w:r>
          </w:p>
        </w:tc>
        <w:tc>
          <w:tcPr>
            <w:tcW w:w="88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9</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22</w:t>
            </w:r>
          </w:p>
        </w:tc>
        <w:tc>
          <w:tcPr>
            <w:tcW w:w="1745"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监控摄像机</w:t>
            </w:r>
          </w:p>
        </w:tc>
        <w:tc>
          <w:tcPr>
            <w:tcW w:w="411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1080P网络室内球，博瑞康，SD-201A</w:t>
            </w:r>
          </w:p>
        </w:tc>
        <w:tc>
          <w:tcPr>
            <w:tcW w:w="88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台</w:t>
            </w:r>
          </w:p>
        </w:tc>
        <w:tc>
          <w:tcPr>
            <w:tcW w:w="88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6</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23</w:t>
            </w:r>
          </w:p>
        </w:tc>
        <w:tc>
          <w:tcPr>
            <w:tcW w:w="1745"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监控摄像机</w:t>
            </w:r>
          </w:p>
        </w:tc>
        <w:tc>
          <w:tcPr>
            <w:tcW w:w="411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室内1080P网络红外枪机，博瑞康，OB-200A</w:t>
            </w:r>
          </w:p>
        </w:tc>
        <w:tc>
          <w:tcPr>
            <w:tcW w:w="88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台</w:t>
            </w:r>
          </w:p>
        </w:tc>
        <w:tc>
          <w:tcPr>
            <w:tcW w:w="88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161</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24</w:t>
            </w:r>
          </w:p>
        </w:tc>
        <w:tc>
          <w:tcPr>
            <w:tcW w:w="1745"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监控摄像机</w:t>
            </w:r>
          </w:p>
        </w:tc>
        <w:tc>
          <w:tcPr>
            <w:tcW w:w="411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1080P海螺半球，博瑞康，VD-200A-PIR</w:t>
            </w:r>
          </w:p>
        </w:tc>
        <w:tc>
          <w:tcPr>
            <w:tcW w:w="88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台</w:t>
            </w:r>
          </w:p>
        </w:tc>
        <w:tc>
          <w:tcPr>
            <w:tcW w:w="88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435</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25</w:t>
            </w:r>
          </w:p>
        </w:tc>
        <w:tc>
          <w:tcPr>
            <w:tcW w:w="1745"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监控摄像机</w:t>
            </w:r>
          </w:p>
        </w:tc>
        <w:tc>
          <w:tcPr>
            <w:tcW w:w="411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500万超清360°全景红外半球，博瑞康，MD-500Ap-360</w:t>
            </w:r>
          </w:p>
        </w:tc>
        <w:tc>
          <w:tcPr>
            <w:tcW w:w="88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台</w:t>
            </w:r>
          </w:p>
        </w:tc>
        <w:tc>
          <w:tcPr>
            <w:tcW w:w="88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3</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26</w:t>
            </w:r>
          </w:p>
        </w:tc>
        <w:tc>
          <w:tcPr>
            <w:tcW w:w="1745"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系统软件</w:t>
            </w:r>
          </w:p>
        </w:tc>
        <w:tc>
          <w:tcPr>
            <w:tcW w:w="411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监管行业综合安防管理系统，大华 DH-DSS7016S</w:t>
            </w:r>
          </w:p>
        </w:tc>
        <w:tc>
          <w:tcPr>
            <w:tcW w:w="88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套</w:t>
            </w:r>
          </w:p>
        </w:tc>
        <w:tc>
          <w:tcPr>
            <w:tcW w:w="88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1</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27</w:t>
            </w:r>
          </w:p>
        </w:tc>
        <w:tc>
          <w:tcPr>
            <w:tcW w:w="1745"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磁盘阵列</w:t>
            </w:r>
          </w:p>
        </w:tc>
        <w:tc>
          <w:tcPr>
            <w:tcW w:w="411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大华DH-EVS5236</w:t>
            </w:r>
          </w:p>
        </w:tc>
        <w:tc>
          <w:tcPr>
            <w:tcW w:w="88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套</w:t>
            </w:r>
          </w:p>
        </w:tc>
        <w:tc>
          <w:tcPr>
            <w:tcW w:w="88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2</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28</w:t>
            </w:r>
          </w:p>
        </w:tc>
        <w:tc>
          <w:tcPr>
            <w:tcW w:w="1745"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视频控制设备</w:t>
            </w:r>
          </w:p>
        </w:tc>
        <w:tc>
          <w:tcPr>
            <w:tcW w:w="411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解码器 大华 DH-NVS0905DH</w:t>
            </w:r>
          </w:p>
        </w:tc>
        <w:tc>
          <w:tcPr>
            <w:tcW w:w="88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套</w:t>
            </w:r>
          </w:p>
        </w:tc>
        <w:tc>
          <w:tcPr>
            <w:tcW w:w="88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2</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29</w:t>
            </w:r>
          </w:p>
        </w:tc>
        <w:tc>
          <w:tcPr>
            <w:tcW w:w="1745"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监控摄像机</w:t>
            </w:r>
          </w:p>
        </w:tc>
        <w:tc>
          <w:tcPr>
            <w:tcW w:w="411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室外 400万 网络红外摄像机大华</w:t>
            </w:r>
          </w:p>
        </w:tc>
        <w:tc>
          <w:tcPr>
            <w:tcW w:w="88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台</w:t>
            </w:r>
          </w:p>
        </w:tc>
        <w:tc>
          <w:tcPr>
            <w:tcW w:w="88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28</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30</w:t>
            </w:r>
          </w:p>
        </w:tc>
        <w:tc>
          <w:tcPr>
            <w:tcW w:w="1745"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监控摄像机</w:t>
            </w:r>
          </w:p>
        </w:tc>
        <w:tc>
          <w:tcPr>
            <w:tcW w:w="411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室内400万防爆半球摄像机</w:t>
            </w:r>
          </w:p>
        </w:tc>
        <w:tc>
          <w:tcPr>
            <w:tcW w:w="88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台</w:t>
            </w:r>
          </w:p>
        </w:tc>
        <w:tc>
          <w:tcPr>
            <w:tcW w:w="88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65</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31</w:t>
            </w:r>
          </w:p>
        </w:tc>
        <w:tc>
          <w:tcPr>
            <w:tcW w:w="1745"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监控交换机</w:t>
            </w:r>
          </w:p>
        </w:tc>
        <w:tc>
          <w:tcPr>
            <w:tcW w:w="411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8口 千兆 华三</w:t>
            </w:r>
          </w:p>
        </w:tc>
        <w:tc>
          <w:tcPr>
            <w:tcW w:w="88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台</w:t>
            </w:r>
          </w:p>
        </w:tc>
        <w:tc>
          <w:tcPr>
            <w:tcW w:w="88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8</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32</w:t>
            </w:r>
          </w:p>
        </w:tc>
        <w:tc>
          <w:tcPr>
            <w:tcW w:w="1745"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监控交换机</w:t>
            </w:r>
          </w:p>
        </w:tc>
        <w:tc>
          <w:tcPr>
            <w:tcW w:w="411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16口 千兆 华三</w:t>
            </w:r>
          </w:p>
        </w:tc>
        <w:tc>
          <w:tcPr>
            <w:tcW w:w="88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台</w:t>
            </w:r>
          </w:p>
        </w:tc>
        <w:tc>
          <w:tcPr>
            <w:tcW w:w="88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5</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33</w:t>
            </w:r>
          </w:p>
        </w:tc>
        <w:tc>
          <w:tcPr>
            <w:tcW w:w="1745"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录像主机</w:t>
            </w:r>
          </w:p>
        </w:tc>
        <w:tc>
          <w:tcPr>
            <w:tcW w:w="411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16路 4盘位</w:t>
            </w:r>
          </w:p>
        </w:tc>
        <w:tc>
          <w:tcPr>
            <w:tcW w:w="88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台</w:t>
            </w:r>
          </w:p>
        </w:tc>
        <w:tc>
          <w:tcPr>
            <w:tcW w:w="88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3</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34</w:t>
            </w:r>
          </w:p>
        </w:tc>
        <w:tc>
          <w:tcPr>
            <w:tcW w:w="1745"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录像主机</w:t>
            </w:r>
          </w:p>
        </w:tc>
        <w:tc>
          <w:tcPr>
            <w:tcW w:w="411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32位 8盘位</w:t>
            </w:r>
          </w:p>
        </w:tc>
        <w:tc>
          <w:tcPr>
            <w:tcW w:w="88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台</w:t>
            </w:r>
          </w:p>
        </w:tc>
        <w:tc>
          <w:tcPr>
            <w:tcW w:w="88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2</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35</w:t>
            </w:r>
          </w:p>
        </w:tc>
        <w:tc>
          <w:tcPr>
            <w:tcW w:w="1745" w:type="dxa"/>
            <w:vMerge w:val="restart"/>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盘柜附件、元件</w:t>
            </w:r>
          </w:p>
        </w:tc>
        <w:tc>
          <w:tcPr>
            <w:tcW w:w="411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1、名称：开关电源</w:t>
            </w:r>
          </w:p>
        </w:tc>
        <w:tc>
          <w:tcPr>
            <w:tcW w:w="885"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个(节)</w:t>
            </w:r>
          </w:p>
        </w:tc>
        <w:tc>
          <w:tcPr>
            <w:tcW w:w="886" w:type="dxa"/>
            <w:vMerge w:val="restart"/>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29</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jc w:val="center"/>
              <w:rPr>
                <w:rFonts w:ascii="宋体" w:hAnsi="宋体" w:cs="Arial"/>
                <w:color w:val="000000" w:themeColor="text1"/>
                <w:kern w:val="0"/>
                <w:szCs w:val="21"/>
                <w14:textFill>
                  <w14:solidFill>
                    <w14:schemeClr w14:val="tx1"/>
                  </w14:solidFill>
                </w14:textFill>
              </w:rPr>
            </w:pPr>
          </w:p>
        </w:tc>
        <w:tc>
          <w:tcPr>
            <w:tcW w:w="1745" w:type="dxa"/>
            <w:vMerge w:val="continue"/>
            <w:tcBorders>
              <w:top w:val="nil"/>
              <w:left w:val="nil"/>
              <w:bottom w:val="single" w:color="000000" w:sz="4" w:space="0"/>
              <w:right w:val="single" w:color="000000" w:sz="4" w:space="0"/>
            </w:tcBorders>
            <w:shd w:val="clear" w:color="auto" w:fill="auto"/>
            <w:vAlign w:val="center"/>
          </w:tcPr>
          <w:p>
            <w:pPr>
              <w:jc w:val="left"/>
              <w:rPr>
                <w:rFonts w:ascii="宋体" w:hAnsi="宋体" w:cs="Arial"/>
                <w:color w:val="000000" w:themeColor="text1"/>
                <w:kern w:val="0"/>
                <w:szCs w:val="21"/>
                <w14:textFill>
                  <w14:solidFill>
                    <w14:schemeClr w14:val="tx1"/>
                  </w14:solidFill>
                </w14:textFill>
              </w:rPr>
            </w:pPr>
          </w:p>
        </w:tc>
        <w:tc>
          <w:tcPr>
            <w:tcW w:w="411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2、规格：12V 4A</w:t>
            </w:r>
          </w:p>
        </w:tc>
        <w:tc>
          <w:tcPr>
            <w:tcW w:w="885"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cs="Arial"/>
                <w:color w:val="000000" w:themeColor="text1"/>
                <w:kern w:val="0"/>
                <w:szCs w:val="21"/>
                <w14:textFill>
                  <w14:solidFill>
                    <w14:schemeClr w14:val="tx1"/>
                  </w14:solidFill>
                </w14:textFill>
              </w:rPr>
            </w:pPr>
          </w:p>
        </w:tc>
        <w:tc>
          <w:tcPr>
            <w:tcW w:w="886" w:type="dxa"/>
            <w:vMerge w:val="continue"/>
            <w:tcBorders>
              <w:top w:val="nil"/>
              <w:left w:val="nil"/>
              <w:bottom w:val="single" w:color="000000" w:sz="4" w:space="0"/>
              <w:right w:val="single" w:color="000000" w:sz="4" w:space="0"/>
            </w:tcBorders>
            <w:shd w:val="clear" w:color="auto" w:fill="auto"/>
            <w:vAlign w:val="center"/>
          </w:tcPr>
          <w:p>
            <w:pPr>
              <w:jc w:val="right"/>
              <w:rPr>
                <w:rFonts w:ascii="宋体" w:hAnsi="宋体" w:cs="Arial"/>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37</w:t>
            </w:r>
          </w:p>
        </w:tc>
        <w:tc>
          <w:tcPr>
            <w:tcW w:w="1745" w:type="dxa"/>
            <w:vMerge w:val="restart"/>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盘柜附件、元件</w:t>
            </w:r>
          </w:p>
        </w:tc>
        <w:tc>
          <w:tcPr>
            <w:tcW w:w="411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1、名称：开关电源</w:t>
            </w:r>
          </w:p>
        </w:tc>
        <w:tc>
          <w:tcPr>
            <w:tcW w:w="885"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个(节)</w:t>
            </w:r>
          </w:p>
        </w:tc>
        <w:tc>
          <w:tcPr>
            <w:tcW w:w="886" w:type="dxa"/>
            <w:vMerge w:val="restart"/>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670</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jc w:val="center"/>
              <w:rPr>
                <w:rFonts w:ascii="宋体" w:hAnsi="宋体" w:cs="Arial"/>
                <w:color w:val="000000" w:themeColor="text1"/>
                <w:kern w:val="0"/>
                <w:szCs w:val="21"/>
                <w14:textFill>
                  <w14:solidFill>
                    <w14:schemeClr w14:val="tx1"/>
                  </w14:solidFill>
                </w14:textFill>
              </w:rPr>
            </w:pPr>
          </w:p>
        </w:tc>
        <w:tc>
          <w:tcPr>
            <w:tcW w:w="1745" w:type="dxa"/>
            <w:vMerge w:val="continue"/>
            <w:tcBorders>
              <w:top w:val="nil"/>
              <w:left w:val="nil"/>
              <w:bottom w:val="single" w:color="000000" w:sz="4" w:space="0"/>
              <w:right w:val="single" w:color="000000" w:sz="4" w:space="0"/>
            </w:tcBorders>
            <w:shd w:val="clear" w:color="auto" w:fill="auto"/>
            <w:vAlign w:val="center"/>
          </w:tcPr>
          <w:p>
            <w:pPr>
              <w:jc w:val="left"/>
              <w:rPr>
                <w:rFonts w:ascii="宋体" w:hAnsi="宋体" w:cs="Arial"/>
                <w:color w:val="000000" w:themeColor="text1"/>
                <w:kern w:val="0"/>
                <w:szCs w:val="21"/>
                <w14:textFill>
                  <w14:solidFill>
                    <w14:schemeClr w14:val="tx1"/>
                  </w14:solidFill>
                </w14:textFill>
              </w:rPr>
            </w:pPr>
          </w:p>
        </w:tc>
        <w:tc>
          <w:tcPr>
            <w:tcW w:w="411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2、规格：12V 1A</w:t>
            </w:r>
          </w:p>
        </w:tc>
        <w:tc>
          <w:tcPr>
            <w:tcW w:w="885"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cs="Arial"/>
                <w:color w:val="000000" w:themeColor="text1"/>
                <w:kern w:val="0"/>
                <w:szCs w:val="21"/>
                <w14:textFill>
                  <w14:solidFill>
                    <w14:schemeClr w14:val="tx1"/>
                  </w14:solidFill>
                </w14:textFill>
              </w:rPr>
            </w:pPr>
          </w:p>
        </w:tc>
        <w:tc>
          <w:tcPr>
            <w:tcW w:w="886" w:type="dxa"/>
            <w:vMerge w:val="continue"/>
            <w:tcBorders>
              <w:top w:val="nil"/>
              <w:left w:val="nil"/>
              <w:bottom w:val="single" w:color="000000" w:sz="4" w:space="0"/>
              <w:right w:val="single" w:color="000000" w:sz="4" w:space="0"/>
            </w:tcBorders>
            <w:shd w:val="clear" w:color="auto" w:fill="auto"/>
            <w:vAlign w:val="center"/>
          </w:tcPr>
          <w:p>
            <w:pPr>
              <w:jc w:val="right"/>
              <w:rPr>
                <w:rFonts w:ascii="宋体" w:hAnsi="宋体" w:cs="Arial"/>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39</w:t>
            </w:r>
          </w:p>
        </w:tc>
        <w:tc>
          <w:tcPr>
            <w:tcW w:w="1745" w:type="dxa"/>
            <w:vMerge w:val="restart"/>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小电器</w:t>
            </w:r>
          </w:p>
        </w:tc>
        <w:tc>
          <w:tcPr>
            <w:tcW w:w="411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1、名称：拾音器</w:t>
            </w:r>
          </w:p>
        </w:tc>
        <w:tc>
          <w:tcPr>
            <w:tcW w:w="885"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个(套、台)</w:t>
            </w:r>
          </w:p>
        </w:tc>
        <w:tc>
          <w:tcPr>
            <w:tcW w:w="886" w:type="dxa"/>
            <w:vMerge w:val="restart"/>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18</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jc w:val="center"/>
              <w:rPr>
                <w:rFonts w:ascii="宋体" w:hAnsi="宋体" w:cs="Arial"/>
                <w:color w:val="000000" w:themeColor="text1"/>
                <w:kern w:val="0"/>
                <w:szCs w:val="21"/>
                <w14:textFill>
                  <w14:solidFill>
                    <w14:schemeClr w14:val="tx1"/>
                  </w14:solidFill>
                </w14:textFill>
              </w:rPr>
            </w:pPr>
          </w:p>
        </w:tc>
        <w:tc>
          <w:tcPr>
            <w:tcW w:w="1745" w:type="dxa"/>
            <w:vMerge w:val="continue"/>
            <w:tcBorders>
              <w:top w:val="nil"/>
              <w:left w:val="nil"/>
              <w:bottom w:val="single" w:color="000000" w:sz="4" w:space="0"/>
              <w:right w:val="single" w:color="000000" w:sz="4" w:space="0"/>
            </w:tcBorders>
            <w:shd w:val="clear" w:color="auto" w:fill="auto"/>
            <w:vAlign w:val="center"/>
          </w:tcPr>
          <w:p>
            <w:pPr>
              <w:jc w:val="left"/>
              <w:rPr>
                <w:rFonts w:ascii="宋体" w:hAnsi="宋体" w:cs="Arial"/>
                <w:color w:val="000000" w:themeColor="text1"/>
                <w:kern w:val="0"/>
                <w:szCs w:val="21"/>
                <w14:textFill>
                  <w14:solidFill>
                    <w14:schemeClr w14:val="tx1"/>
                  </w14:solidFill>
                </w14:textFill>
              </w:rPr>
            </w:pPr>
          </w:p>
        </w:tc>
        <w:tc>
          <w:tcPr>
            <w:tcW w:w="411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2、参考型号、规格：B.TRADIO</w:t>
            </w:r>
          </w:p>
        </w:tc>
        <w:tc>
          <w:tcPr>
            <w:tcW w:w="885"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cs="Arial"/>
                <w:color w:val="000000" w:themeColor="text1"/>
                <w:kern w:val="0"/>
                <w:szCs w:val="21"/>
                <w14:textFill>
                  <w14:solidFill>
                    <w14:schemeClr w14:val="tx1"/>
                  </w14:solidFill>
                </w14:textFill>
              </w:rPr>
            </w:pPr>
          </w:p>
        </w:tc>
        <w:tc>
          <w:tcPr>
            <w:tcW w:w="886" w:type="dxa"/>
            <w:vMerge w:val="continue"/>
            <w:tcBorders>
              <w:top w:val="nil"/>
              <w:left w:val="nil"/>
              <w:bottom w:val="single" w:color="000000" w:sz="4" w:space="0"/>
              <w:right w:val="single" w:color="000000" w:sz="4" w:space="0"/>
            </w:tcBorders>
            <w:shd w:val="clear" w:color="auto" w:fill="auto"/>
            <w:vAlign w:val="center"/>
          </w:tcPr>
          <w:p>
            <w:pPr>
              <w:jc w:val="right"/>
              <w:rPr>
                <w:rFonts w:ascii="宋体" w:hAnsi="宋体" w:cs="Arial"/>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41</w:t>
            </w:r>
          </w:p>
        </w:tc>
        <w:tc>
          <w:tcPr>
            <w:tcW w:w="1745"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小电器</w:t>
            </w:r>
          </w:p>
        </w:tc>
        <w:tc>
          <w:tcPr>
            <w:tcW w:w="411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1、名称：总线转换器</w:t>
            </w:r>
          </w:p>
        </w:tc>
        <w:tc>
          <w:tcPr>
            <w:tcW w:w="88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个(套、台)</w:t>
            </w:r>
          </w:p>
        </w:tc>
        <w:tc>
          <w:tcPr>
            <w:tcW w:w="88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19</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42</w:t>
            </w:r>
          </w:p>
        </w:tc>
        <w:tc>
          <w:tcPr>
            <w:tcW w:w="1745"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无线网桥</w:t>
            </w:r>
          </w:p>
        </w:tc>
        <w:tc>
          <w:tcPr>
            <w:tcW w:w="411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电梯监控无线网桥，IP-COM,AP615</w:t>
            </w:r>
          </w:p>
        </w:tc>
        <w:tc>
          <w:tcPr>
            <w:tcW w:w="88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个(套、台)</w:t>
            </w:r>
          </w:p>
        </w:tc>
        <w:tc>
          <w:tcPr>
            <w:tcW w:w="88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42</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43</w:t>
            </w:r>
          </w:p>
        </w:tc>
        <w:tc>
          <w:tcPr>
            <w:tcW w:w="1745"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小电器</w:t>
            </w:r>
          </w:p>
        </w:tc>
        <w:tc>
          <w:tcPr>
            <w:tcW w:w="411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电梯监控电源拖线板，公牛，5位2米</w:t>
            </w:r>
          </w:p>
        </w:tc>
        <w:tc>
          <w:tcPr>
            <w:tcW w:w="88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个(套、台)</w:t>
            </w:r>
          </w:p>
        </w:tc>
        <w:tc>
          <w:tcPr>
            <w:tcW w:w="88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30</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44</w:t>
            </w:r>
          </w:p>
        </w:tc>
        <w:tc>
          <w:tcPr>
            <w:tcW w:w="1745"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小电器</w:t>
            </w:r>
          </w:p>
        </w:tc>
        <w:tc>
          <w:tcPr>
            <w:tcW w:w="411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电梯监控220V面板，国产，220V10A，五孔</w:t>
            </w:r>
          </w:p>
        </w:tc>
        <w:tc>
          <w:tcPr>
            <w:tcW w:w="88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个(套、台)</w:t>
            </w:r>
          </w:p>
        </w:tc>
        <w:tc>
          <w:tcPr>
            <w:tcW w:w="88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20</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45</w:t>
            </w:r>
          </w:p>
        </w:tc>
        <w:tc>
          <w:tcPr>
            <w:tcW w:w="1745"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光纤盒</w:t>
            </w:r>
          </w:p>
        </w:tc>
        <w:tc>
          <w:tcPr>
            <w:tcW w:w="411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终端箱8口光纤盒，荣光，8口LC</w:t>
            </w:r>
          </w:p>
        </w:tc>
        <w:tc>
          <w:tcPr>
            <w:tcW w:w="88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个(套、台)</w:t>
            </w:r>
          </w:p>
        </w:tc>
        <w:tc>
          <w:tcPr>
            <w:tcW w:w="88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52</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46</w:t>
            </w:r>
          </w:p>
        </w:tc>
        <w:tc>
          <w:tcPr>
            <w:tcW w:w="1745"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耦合器</w:t>
            </w:r>
          </w:p>
        </w:tc>
        <w:tc>
          <w:tcPr>
            <w:tcW w:w="411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双工单模LC耦合器，荣光，LC</w:t>
            </w:r>
          </w:p>
        </w:tc>
        <w:tc>
          <w:tcPr>
            <w:tcW w:w="88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个(套、台)</w:t>
            </w:r>
          </w:p>
        </w:tc>
        <w:tc>
          <w:tcPr>
            <w:tcW w:w="88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66</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47</w:t>
            </w:r>
          </w:p>
        </w:tc>
        <w:tc>
          <w:tcPr>
            <w:tcW w:w="1745"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单模尾纤</w:t>
            </w:r>
          </w:p>
        </w:tc>
        <w:tc>
          <w:tcPr>
            <w:tcW w:w="4119"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b/>
                <w:bCs/>
                <w:color w:val="000000" w:themeColor="text1"/>
                <w:kern w:val="0"/>
                <w:sz w:val="24"/>
                <w14:textFill>
                  <w14:solidFill>
                    <w14:schemeClr w14:val="tx1"/>
                  </w14:solidFill>
                </w14:textFill>
              </w:rPr>
            </w:pPr>
            <w:r>
              <w:rPr>
                <w:rFonts w:hint="eastAsia" w:ascii="宋体" w:hAnsi="宋体" w:cs="宋体"/>
                <w:color w:val="000000"/>
                <w:kern w:val="0"/>
                <w:szCs w:val="21"/>
                <w:lang w:bidi="ar"/>
              </w:rPr>
              <w:t>单模尾纤，LS，单模尾纤</w:t>
            </w:r>
          </w:p>
        </w:tc>
        <w:tc>
          <w:tcPr>
            <w:tcW w:w="88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根(块)</w:t>
            </w:r>
          </w:p>
        </w:tc>
        <w:tc>
          <w:tcPr>
            <w:tcW w:w="88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116</w:t>
            </w:r>
          </w:p>
        </w:tc>
      </w:tr>
      <w:tr>
        <w:tblPrEx>
          <w:tblCellMar>
            <w:top w:w="0" w:type="dxa"/>
            <w:left w:w="108" w:type="dxa"/>
            <w:bottom w:w="0" w:type="dxa"/>
            <w:right w:w="108" w:type="dxa"/>
          </w:tblCellMar>
        </w:tblPrEx>
        <w:trPr>
          <w:trHeight w:val="528"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48</w:t>
            </w:r>
          </w:p>
        </w:tc>
        <w:tc>
          <w:tcPr>
            <w:tcW w:w="1745" w:type="dxa"/>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单模光纤跳线</w:t>
            </w:r>
          </w:p>
        </w:tc>
        <w:tc>
          <w:tcPr>
            <w:tcW w:w="4119" w:type="dxa"/>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单模双工跳线，LS，SC-LC,3米</w:t>
            </w:r>
          </w:p>
        </w:tc>
        <w:tc>
          <w:tcPr>
            <w:tcW w:w="885"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根(块)</w:t>
            </w:r>
          </w:p>
        </w:tc>
        <w:tc>
          <w:tcPr>
            <w:tcW w:w="886" w:type="dxa"/>
            <w:tcBorders>
              <w:top w:val="nil"/>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116</w:t>
            </w:r>
          </w:p>
        </w:tc>
      </w:tr>
      <w:tr>
        <w:tblPrEx>
          <w:tblCellMar>
            <w:top w:w="0" w:type="dxa"/>
            <w:left w:w="108" w:type="dxa"/>
            <w:bottom w:w="0" w:type="dxa"/>
            <w:right w:w="108" w:type="dxa"/>
          </w:tblCellMar>
        </w:tblPrEx>
        <w:trPr>
          <w:trHeight w:val="528" w:hRule="atLeast"/>
        </w:trPr>
        <w:tc>
          <w:tcPr>
            <w:tcW w:w="885" w:type="dxa"/>
            <w:tcBorders>
              <w:top w:val="nil"/>
              <w:left w:val="single" w:color="000000" w:sz="8" w:space="0"/>
              <w:bottom w:val="single" w:color="000000" w:sz="4" w:space="0"/>
              <w:right w:val="single" w:color="000000" w:sz="4" w:space="0"/>
            </w:tcBorders>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49</w:t>
            </w:r>
          </w:p>
        </w:tc>
        <w:tc>
          <w:tcPr>
            <w:tcW w:w="1745" w:type="dxa"/>
            <w:tcBorders>
              <w:top w:val="nil"/>
              <w:left w:val="single" w:color="000000" w:sz="4" w:space="0"/>
              <w:bottom w:val="single" w:color="000000" w:sz="4" w:space="0"/>
              <w:right w:val="single" w:color="000000" w:sz="4" w:space="0"/>
            </w:tcBorders>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操作台</w:t>
            </w:r>
          </w:p>
        </w:tc>
        <w:tc>
          <w:tcPr>
            <w:tcW w:w="4119" w:type="dxa"/>
            <w:tcBorders>
              <w:top w:val="nil"/>
              <w:left w:val="single" w:color="000000" w:sz="4" w:space="0"/>
              <w:bottom w:val="single" w:color="000000" w:sz="4" w:space="0"/>
              <w:right w:val="single" w:color="000000" w:sz="4" w:space="0"/>
            </w:tcBorders>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 xml:space="preserve"> </w:t>
            </w:r>
          </w:p>
        </w:tc>
        <w:tc>
          <w:tcPr>
            <w:tcW w:w="885"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节</w:t>
            </w:r>
          </w:p>
        </w:tc>
        <w:tc>
          <w:tcPr>
            <w:tcW w:w="886" w:type="dxa"/>
            <w:tcBorders>
              <w:top w:val="nil"/>
              <w:left w:val="single" w:color="000000" w:sz="4" w:space="0"/>
              <w:bottom w:val="single" w:color="000000" w:sz="4" w:space="0"/>
              <w:right w:val="single" w:color="000000" w:sz="4" w:space="0"/>
            </w:tcBorders>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5</w:t>
            </w:r>
          </w:p>
        </w:tc>
      </w:tr>
      <w:tr>
        <w:tblPrEx>
          <w:tblCellMar>
            <w:top w:w="0" w:type="dxa"/>
            <w:left w:w="108" w:type="dxa"/>
            <w:bottom w:w="0" w:type="dxa"/>
            <w:right w:w="108" w:type="dxa"/>
          </w:tblCellMar>
        </w:tblPrEx>
        <w:trPr>
          <w:trHeight w:val="450" w:hRule="atLeast"/>
        </w:trPr>
        <w:tc>
          <w:tcPr>
            <w:tcW w:w="8520" w:type="dxa"/>
            <w:gridSpan w:val="5"/>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 w:val="32"/>
                <w:szCs w:val="32"/>
                <w:lang w:bidi="ar"/>
              </w:rPr>
              <w:t>监控室机房</w:t>
            </w:r>
          </w:p>
        </w:tc>
      </w:tr>
      <w:tr>
        <w:tblPrEx>
          <w:tblCellMar>
            <w:top w:w="0" w:type="dxa"/>
            <w:left w:w="108" w:type="dxa"/>
            <w:bottom w:w="0" w:type="dxa"/>
            <w:right w:w="108" w:type="dxa"/>
          </w:tblCellMar>
        </w:tblPrEx>
        <w:trPr>
          <w:trHeight w:val="15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50</w:t>
            </w:r>
          </w:p>
        </w:tc>
        <w:tc>
          <w:tcPr>
            <w:tcW w:w="1745"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电气控制柜</w:t>
            </w:r>
          </w:p>
        </w:tc>
        <w:tc>
          <w:tcPr>
            <w:tcW w:w="411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机房输入输出配电柜，易事特，参数：600*1000*2000作为柜体,机房输入输出配电柜。整体采用模块化设计，各种电器元件、自动空气开关、熔断器、接触器、电流表、电压表、铜排等</w:t>
            </w:r>
          </w:p>
        </w:tc>
        <w:tc>
          <w:tcPr>
            <w:tcW w:w="88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台</w:t>
            </w:r>
          </w:p>
        </w:tc>
        <w:tc>
          <w:tcPr>
            <w:tcW w:w="88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1</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52</w:t>
            </w:r>
          </w:p>
        </w:tc>
        <w:tc>
          <w:tcPr>
            <w:tcW w:w="1745" w:type="dxa"/>
            <w:vMerge w:val="restart"/>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荧光灯</w:t>
            </w:r>
          </w:p>
        </w:tc>
        <w:tc>
          <w:tcPr>
            <w:tcW w:w="411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1、名称：亚光铝格栅灯</w:t>
            </w:r>
          </w:p>
        </w:tc>
        <w:tc>
          <w:tcPr>
            <w:tcW w:w="885"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套</w:t>
            </w:r>
          </w:p>
        </w:tc>
        <w:tc>
          <w:tcPr>
            <w:tcW w:w="886" w:type="dxa"/>
            <w:vMerge w:val="restart"/>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14</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53</w:t>
            </w:r>
          </w:p>
        </w:tc>
        <w:tc>
          <w:tcPr>
            <w:tcW w:w="1745" w:type="dxa"/>
            <w:vMerge w:val="continue"/>
            <w:tcBorders>
              <w:top w:val="nil"/>
              <w:left w:val="nil"/>
              <w:bottom w:val="single" w:color="000000" w:sz="4" w:space="0"/>
              <w:right w:val="single" w:color="000000" w:sz="4" w:space="0"/>
            </w:tcBorders>
            <w:shd w:val="clear" w:color="auto" w:fill="auto"/>
            <w:vAlign w:val="center"/>
          </w:tcPr>
          <w:p>
            <w:pPr>
              <w:jc w:val="left"/>
              <w:rPr>
                <w:rFonts w:ascii="宋体" w:hAnsi="宋体" w:cs="Arial"/>
                <w:color w:val="000000" w:themeColor="text1"/>
                <w:kern w:val="0"/>
                <w:szCs w:val="21"/>
                <w14:textFill>
                  <w14:solidFill>
                    <w14:schemeClr w14:val="tx1"/>
                  </w14:solidFill>
                </w14:textFill>
              </w:rPr>
            </w:pPr>
          </w:p>
        </w:tc>
        <w:tc>
          <w:tcPr>
            <w:tcW w:w="411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2、规格：600*1200,3*36W</w:t>
            </w:r>
          </w:p>
        </w:tc>
        <w:tc>
          <w:tcPr>
            <w:tcW w:w="885"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cs="Arial"/>
                <w:color w:val="000000" w:themeColor="text1"/>
                <w:kern w:val="0"/>
                <w:szCs w:val="21"/>
                <w14:textFill>
                  <w14:solidFill>
                    <w14:schemeClr w14:val="tx1"/>
                  </w14:solidFill>
                </w14:textFill>
              </w:rPr>
            </w:pPr>
          </w:p>
        </w:tc>
        <w:tc>
          <w:tcPr>
            <w:tcW w:w="886" w:type="dxa"/>
            <w:vMerge w:val="continue"/>
            <w:tcBorders>
              <w:top w:val="nil"/>
              <w:left w:val="nil"/>
              <w:bottom w:val="single" w:color="000000" w:sz="4" w:space="0"/>
              <w:right w:val="single" w:color="000000" w:sz="4" w:space="0"/>
            </w:tcBorders>
            <w:shd w:val="clear" w:color="auto" w:fill="auto"/>
            <w:vAlign w:val="center"/>
          </w:tcPr>
          <w:p>
            <w:pPr>
              <w:jc w:val="right"/>
              <w:rPr>
                <w:rFonts w:ascii="宋体" w:hAnsi="宋体" w:cs="Arial"/>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54</w:t>
            </w:r>
          </w:p>
        </w:tc>
        <w:tc>
          <w:tcPr>
            <w:tcW w:w="1745" w:type="dxa"/>
            <w:vMerge w:val="restart"/>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荧光灯</w:t>
            </w:r>
          </w:p>
        </w:tc>
        <w:tc>
          <w:tcPr>
            <w:tcW w:w="411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1、名称：应急亚光铝格栅灯</w:t>
            </w:r>
          </w:p>
        </w:tc>
        <w:tc>
          <w:tcPr>
            <w:tcW w:w="885"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套</w:t>
            </w:r>
          </w:p>
        </w:tc>
        <w:tc>
          <w:tcPr>
            <w:tcW w:w="886" w:type="dxa"/>
            <w:vMerge w:val="restart"/>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4</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jc w:val="center"/>
              <w:rPr>
                <w:rFonts w:ascii="宋体" w:hAnsi="宋体" w:cs="Arial"/>
                <w:color w:val="000000" w:themeColor="text1"/>
                <w:kern w:val="0"/>
                <w:szCs w:val="21"/>
                <w14:textFill>
                  <w14:solidFill>
                    <w14:schemeClr w14:val="tx1"/>
                  </w14:solidFill>
                </w14:textFill>
              </w:rPr>
            </w:pPr>
            <w:r>
              <w:rPr>
                <w:rFonts w:hint="eastAsia" w:ascii="宋体" w:hAnsi="宋体" w:cs="Arial"/>
                <w:color w:val="000000" w:themeColor="text1"/>
                <w:kern w:val="0"/>
                <w:szCs w:val="21"/>
                <w14:textFill>
                  <w14:solidFill>
                    <w14:schemeClr w14:val="tx1"/>
                  </w14:solidFill>
                </w14:textFill>
              </w:rPr>
              <w:t>55</w:t>
            </w:r>
          </w:p>
        </w:tc>
        <w:tc>
          <w:tcPr>
            <w:tcW w:w="1745" w:type="dxa"/>
            <w:vMerge w:val="continue"/>
            <w:tcBorders>
              <w:top w:val="nil"/>
              <w:left w:val="nil"/>
              <w:bottom w:val="single" w:color="000000" w:sz="4" w:space="0"/>
              <w:right w:val="single" w:color="000000" w:sz="4" w:space="0"/>
            </w:tcBorders>
            <w:shd w:val="clear" w:color="auto" w:fill="auto"/>
            <w:vAlign w:val="center"/>
          </w:tcPr>
          <w:p>
            <w:pPr>
              <w:jc w:val="left"/>
              <w:rPr>
                <w:rFonts w:ascii="宋体" w:hAnsi="宋体" w:cs="Arial"/>
                <w:color w:val="000000" w:themeColor="text1"/>
                <w:kern w:val="0"/>
                <w:szCs w:val="21"/>
                <w14:textFill>
                  <w14:solidFill>
                    <w14:schemeClr w14:val="tx1"/>
                  </w14:solidFill>
                </w14:textFill>
              </w:rPr>
            </w:pPr>
          </w:p>
        </w:tc>
        <w:tc>
          <w:tcPr>
            <w:tcW w:w="411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2、规格：600*1200,3*36W</w:t>
            </w:r>
          </w:p>
        </w:tc>
        <w:tc>
          <w:tcPr>
            <w:tcW w:w="885"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cs="Arial"/>
                <w:color w:val="000000" w:themeColor="text1"/>
                <w:kern w:val="0"/>
                <w:szCs w:val="21"/>
                <w14:textFill>
                  <w14:solidFill>
                    <w14:schemeClr w14:val="tx1"/>
                  </w14:solidFill>
                </w14:textFill>
              </w:rPr>
            </w:pPr>
          </w:p>
        </w:tc>
        <w:tc>
          <w:tcPr>
            <w:tcW w:w="886" w:type="dxa"/>
            <w:vMerge w:val="continue"/>
            <w:tcBorders>
              <w:top w:val="nil"/>
              <w:left w:val="nil"/>
              <w:bottom w:val="single" w:color="000000" w:sz="4" w:space="0"/>
              <w:right w:val="single" w:color="000000" w:sz="4" w:space="0"/>
            </w:tcBorders>
            <w:shd w:val="clear" w:color="auto" w:fill="auto"/>
            <w:vAlign w:val="center"/>
          </w:tcPr>
          <w:p>
            <w:pPr>
              <w:jc w:val="right"/>
              <w:rPr>
                <w:rFonts w:ascii="宋体" w:hAnsi="宋体" w:cs="Arial"/>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56</w:t>
            </w:r>
          </w:p>
        </w:tc>
        <w:tc>
          <w:tcPr>
            <w:tcW w:w="1745" w:type="dxa"/>
            <w:vMerge w:val="restart"/>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照明开关</w:t>
            </w:r>
          </w:p>
        </w:tc>
        <w:tc>
          <w:tcPr>
            <w:tcW w:w="411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1、名称：双联双控开关</w:t>
            </w:r>
          </w:p>
        </w:tc>
        <w:tc>
          <w:tcPr>
            <w:tcW w:w="885"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个</w:t>
            </w:r>
          </w:p>
        </w:tc>
        <w:tc>
          <w:tcPr>
            <w:tcW w:w="886" w:type="dxa"/>
            <w:vMerge w:val="restart"/>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2</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jc w:val="center"/>
              <w:rPr>
                <w:rFonts w:ascii="宋体" w:hAnsi="宋体" w:cs="Arial"/>
                <w:color w:val="000000" w:themeColor="text1"/>
                <w:kern w:val="0"/>
                <w:szCs w:val="21"/>
                <w14:textFill>
                  <w14:solidFill>
                    <w14:schemeClr w14:val="tx1"/>
                  </w14:solidFill>
                </w14:textFill>
              </w:rPr>
            </w:pPr>
            <w:r>
              <w:rPr>
                <w:rFonts w:hint="eastAsia" w:ascii="宋体" w:hAnsi="宋体" w:cs="Arial"/>
                <w:color w:val="000000" w:themeColor="text1"/>
                <w:kern w:val="0"/>
                <w:szCs w:val="21"/>
                <w14:textFill>
                  <w14:solidFill>
                    <w14:schemeClr w14:val="tx1"/>
                  </w14:solidFill>
                </w14:textFill>
              </w:rPr>
              <w:t>57</w:t>
            </w:r>
          </w:p>
        </w:tc>
        <w:tc>
          <w:tcPr>
            <w:tcW w:w="1745" w:type="dxa"/>
            <w:vMerge w:val="continue"/>
            <w:tcBorders>
              <w:top w:val="nil"/>
              <w:left w:val="nil"/>
              <w:bottom w:val="single" w:color="000000" w:sz="4" w:space="0"/>
              <w:right w:val="single" w:color="000000" w:sz="4" w:space="0"/>
            </w:tcBorders>
            <w:shd w:val="clear" w:color="auto" w:fill="auto"/>
            <w:vAlign w:val="center"/>
          </w:tcPr>
          <w:p>
            <w:pPr>
              <w:jc w:val="left"/>
              <w:rPr>
                <w:rFonts w:ascii="宋体" w:hAnsi="宋体" w:cs="Arial"/>
                <w:color w:val="000000" w:themeColor="text1"/>
                <w:kern w:val="0"/>
                <w:szCs w:val="21"/>
                <w14:textFill>
                  <w14:solidFill>
                    <w14:schemeClr w14:val="tx1"/>
                  </w14:solidFill>
                </w14:textFill>
              </w:rPr>
            </w:pPr>
          </w:p>
        </w:tc>
        <w:tc>
          <w:tcPr>
            <w:tcW w:w="411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2、规格：10A/220V</w:t>
            </w:r>
          </w:p>
        </w:tc>
        <w:tc>
          <w:tcPr>
            <w:tcW w:w="885"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cs="Arial"/>
                <w:color w:val="000000" w:themeColor="text1"/>
                <w:kern w:val="0"/>
                <w:szCs w:val="21"/>
                <w14:textFill>
                  <w14:solidFill>
                    <w14:schemeClr w14:val="tx1"/>
                  </w14:solidFill>
                </w14:textFill>
              </w:rPr>
            </w:pPr>
          </w:p>
        </w:tc>
        <w:tc>
          <w:tcPr>
            <w:tcW w:w="886" w:type="dxa"/>
            <w:vMerge w:val="continue"/>
            <w:tcBorders>
              <w:top w:val="nil"/>
              <w:left w:val="nil"/>
              <w:bottom w:val="single" w:color="000000" w:sz="4" w:space="0"/>
              <w:right w:val="single" w:color="000000" w:sz="4" w:space="0"/>
            </w:tcBorders>
            <w:shd w:val="clear" w:color="auto" w:fill="auto"/>
            <w:vAlign w:val="center"/>
          </w:tcPr>
          <w:p>
            <w:pPr>
              <w:jc w:val="right"/>
              <w:rPr>
                <w:rFonts w:ascii="宋体" w:hAnsi="宋体" w:cs="Arial"/>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58</w:t>
            </w:r>
          </w:p>
        </w:tc>
        <w:tc>
          <w:tcPr>
            <w:tcW w:w="1745" w:type="dxa"/>
            <w:vMerge w:val="restart"/>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小电器</w:t>
            </w:r>
          </w:p>
        </w:tc>
        <w:tc>
          <w:tcPr>
            <w:tcW w:w="411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1、名称：五孔插座</w:t>
            </w:r>
          </w:p>
        </w:tc>
        <w:tc>
          <w:tcPr>
            <w:tcW w:w="885"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个(套、台)</w:t>
            </w:r>
          </w:p>
        </w:tc>
        <w:tc>
          <w:tcPr>
            <w:tcW w:w="886" w:type="dxa"/>
            <w:vMerge w:val="restart"/>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14</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jc w:val="center"/>
              <w:rPr>
                <w:rFonts w:ascii="宋体" w:hAnsi="宋体" w:cs="Arial"/>
                <w:color w:val="000000" w:themeColor="text1"/>
                <w:kern w:val="0"/>
                <w:szCs w:val="21"/>
                <w14:textFill>
                  <w14:solidFill>
                    <w14:schemeClr w14:val="tx1"/>
                  </w14:solidFill>
                </w14:textFill>
              </w:rPr>
            </w:pPr>
            <w:r>
              <w:rPr>
                <w:rFonts w:hint="eastAsia" w:ascii="宋体" w:hAnsi="宋体" w:cs="Arial"/>
                <w:color w:val="000000" w:themeColor="text1"/>
                <w:kern w:val="0"/>
                <w:szCs w:val="21"/>
                <w14:textFill>
                  <w14:solidFill>
                    <w14:schemeClr w14:val="tx1"/>
                  </w14:solidFill>
                </w14:textFill>
              </w:rPr>
              <w:t>59</w:t>
            </w:r>
          </w:p>
        </w:tc>
        <w:tc>
          <w:tcPr>
            <w:tcW w:w="1745" w:type="dxa"/>
            <w:vMerge w:val="continue"/>
            <w:tcBorders>
              <w:top w:val="nil"/>
              <w:left w:val="nil"/>
              <w:bottom w:val="single" w:color="000000" w:sz="4" w:space="0"/>
              <w:right w:val="single" w:color="000000" w:sz="4" w:space="0"/>
            </w:tcBorders>
            <w:shd w:val="clear" w:color="auto" w:fill="auto"/>
            <w:vAlign w:val="center"/>
          </w:tcPr>
          <w:p>
            <w:pPr>
              <w:jc w:val="left"/>
              <w:rPr>
                <w:rFonts w:ascii="宋体" w:hAnsi="宋体" w:cs="Arial"/>
                <w:color w:val="000000" w:themeColor="text1"/>
                <w:kern w:val="0"/>
                <w:szCs w:val="21"/>
                <w14:textFill>
                  <w14:solidFill>
                    <w14:schemeClr w14:val="tx1"/>
                  </w14:solidFill>
                </w14:textFill>
              </w:rPr>
            </w:pPr>
          </w:p>
        </w:tc>
        <w:tc>
          <w:tcPr>
            <w:tcW w:w="411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2、规格：86型</w:t>
            </w:r>
          </w:p>
        </w:tc>
        <w:tc>
          <w:tcPr>
            <w:tcW w:w="885"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cs="Arial"/>
                <w:color w:val="000000" w:themeColor="text1"/>
                <w:kern w:val="0"/>
                <w:szCs w:val="21"/>
                <w14:textFill>
                  <w14:solidFill>
                    <w14:schemeClr w14:val="tx1"/>
                  </w14:solidFill>
                </w14:textFill>
              </w:rPr>
            </w:pPr>
          </w:p>
        </w:tc>
        <w:tc>
          <w:tcPr>
            <w:tcW w:w="886" w:type="dxa"/>
            <w:vMerge w:val="continue"/>
            <w:tcBorders>
              <w:top w:val="nil"/>
              <w:left w:val="nil"/>
              <w:bottom w:val="single" w:color="000000" w:sz="4" w:space="0"/>
              <w:right w:val="single" w:color="000000" w:sz="4" w:space="0"/>
            </w:tcBorders>
            <w:shd w:val="clear" w:color="auto" w:fill="auto"/>
            <w:vAlign w:val="center"/>
          </w:tcPr>
          <w:p>
            <w:pPr>
              <w:jc w:val="right"/>
              <w:rPr>
                <w:rFonts w:ascii="宋体" w:hAnsi="宋体" w:cs="Arial"/>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60</w:t>
            </w:r>
          </w:p>
        </w:tc>
        <w:tc>
          <w:tcPr>
            <w:tcW w:w="1745"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装饰灯</w:t>
            </w:r>
          </w:p>
        </w:tc>
        <w:tc>
          <w:tcPr>
            <w:tcW w:w="411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安全出门指示灯，5W,LED显示,220V电压</w:t>
            </w:r>
          </w:p>
        </w:tc>
        <w:tc>
          <w:tcPr>
            <w:tcW w:w="88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套</w:t>
            </w:r>
          </w:p>
        </w:tc>
        <w:tc>
          <w:tcPr>
            <w:tcW w:w="88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2</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61</w:t>
            </w:r>
          </w:p>
        </w:tc>
        <w:tc>
          <w:tcPr>
            <w:tcW w:w="1745"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UPS不间断电源设备</w:t>
            </w:r>
          </w:p>
        </w:tc>
        <w:tc>
          <w:tcPr>
            <w:tcW w:w="411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UPS主机，易事特，EA9930</w:t>
            </w:r>
          </w:p>
        </w:tc>
        <w:tc>
          <w:tcPr>
            <w:tcW w:w="88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台</w:t>
            </w:r>
          </w:p>
        </w:tc>
        <w:tc>
          <w:tcPr>
            <w:tcW w:w="88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1</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62</w:t>
            </w:r>
          </w:p>
        </w:tc>
        <w:tc>
          <w:tcPr>
            <w:tcW w:w="1745"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蓄电池</w:t>
            </w:r>
          </w:p>
        </w:tc>
        <w:tc>
          <w:tcPr>
            <w:tcW w:w="411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蓄电池，易事特，MK100-12，后备2小时</w:t>
            </w:r>
          </w:p>
        </w:tc>
        <w:tc>
          <w:tcPr>
            <w:tcW w:w="88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个</w:t>
            </w:r>
          </w:p>
        </w:tc>
        <w:tc>
          <w:tcPr>
            <w:tcW w:w="88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64</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63</w:t>
            </w:r>
          </w:p>
        </w:tc>
        <w:tc>
          <w:tcPr>
            <w:tcW w:w="1745"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配电箱</w:t>
            </w:r>
          </w:p>
        </w:tc>
        <w:tc>
          <w:tcPr>
            <w:tcW w:w="411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电池柜，易事特，32节电池柜，非拼装</w:t>
            </w:r>
          </w:p>
        </w:tc>
        <w:tc>
          <w:tcPr>
            <w:tcW w:w="88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台</w:t>
            </w:r>
          </w:p>
        </w:tc>
        <w:tc>
          <w:tcPr>
            <w:tcW w:w="88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2</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64</w:t>
            </w:r>
          </w:p>
        </w:tc>
        <w:tc>
          <w:tcPr>
            <w:tcW w:w="1745"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小电器</w:t>
            </w:r>
          </w:p>
        </w:tc>
        <w:tc>
          <w:tcPr>
            <w:tcW w:w="411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电池直流空开，易事特，直流专用开关，DC660V</w:t>
            </w:r>
          </w:p>
        </w:tc>
        <w:tc>
          <w:tcPr>
            <w:tcW w:w="88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个</w:t>
            </w:r>
          </w:p>
        </w:tc>
        <w:tc>
          <w:tcPr>
            <w:tcW w:w="88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2</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65</w:t>
            </w:r>
          </w:p>
        </w:tc>
        <w:tc>
          <w:tcPr>
            <w:tcW w:w="1745"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空调器</w:t>
            </w:r>
          </w:p>
        </w:tc>
        <w:tc>
          <w:tcPr>
            <w:tcW w:w="411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舒适性空调（含管路、制冷剂），美的，KFR-72LW/DY-PA400(D3)</w:t>
            </w:r>
          </w:p>
        </w:tc>
        <w:tc>
          <w:tcPr>
            <w:tcW w:w="88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台</w:t>
            </w:r>
          </w:p>
        </w:tc>
        <w:tc>
          <w:tcPr>
            <w:tcW w:w="88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2</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66</w:t>
            </w:r>
          </w:p>
        </w:tc>
        <w:tc>
          <w:tcPr>
            <w:tcW w:w="1745" w:type="dxa"/>
            <w:tcBorders>
              <w:top w:val="nil"/>
              <w:left w:val="nil"/>
              <w:bottom w:val="single" w:color="000000" w:sz="4" w:space="0"/>
              <w:right w:val="single" w:color="000000" w:sz="4" w:space="0"/>
            </w:tcBorders>
            <w:shd w:val="clear" w:color="000000" w:fill="FFFFFF"/>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小电器</w:t>
            </w:r>
          </w:p>
        </w:tc>
        <w:tc>
          <w:tcPr>
            <w:tcW w:w="4119" w:type="dxa"/>
            <w:tcBorders>
              <w:top w:val="nil"/>
              <w:left w:val="nil"/>
              <w:bottom w:val="single" w:color="000000" w:sz="4" w:space="0"/>
              <w:right w:val="single" w:color="000000" w:sz="4" w:space="0"/>
            </w:tcBorders>
            <w:shd w:val="clear" w:color="000000" w:fill="FFFFFF"/>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等电位器，易事特，VSP-1000</w:t>
            </w:r>
          </w:p>
        </w:tc>
        <w:tc>
          <w:tcPr>
            <w:tcW w:w="885" w:type="dxa"/>
            <w:tcBorders>
              <w:top w:val="nil"/>
              <w:left w:val="nil"/>
              <w:bottom w:val="single" w:color="000000" w:sz="4" w:space="0"/>
              <w:right w:val="single" w:color="000000" w:sz="4" w:space="0"/>
            </w:tcBorders>
            <w:shd w:val="clear" w:color="000000" w:fill="FFFFFF"/>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个</w:t>
            </w:r>
          </w:p>
        </w:tc>
        <w:tc>
          <w:tcPr>
            <w:tcW w:w="886" w:type="dxa"/>
            <w:tcBorders>
              <w:top w:val="nil"/>
              <w:left w:val="nil"/>
              <w:bottom w:val="single" w:color="000000" w:sz="4" w:space="0"/>
              <w:right w:val="single" w:color="000000" w:sz="4" w:space="0"/>
            </w:tcBorders>
            <w:shd w:val="clear" w:color="000000" w:fill="FFFFFF"/>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1</w:t>
            </w:r>
          </w:p>
        </w:tc>
      </w:tr>
      <w:tr>
        <w:tblPrEx>
          <w:tblCellMar>
            <w:top w:w="0" w:type="dxa"/>
            <w:left w:w="108" w:type="dxa"/>
            <w:bottom w:w="0" w:type="dxa"/>
            <w:right w:w="108" w:type="dxa"/>
          </w:tblCellMar>
        </w:tblPrEx>
        <w:trPr>
          <w:trHeight w:val="450" w:hRule="atLeast"/>
        </w:trPr>
        <w:tc>
          <w:tcPr>
            <w:tcW w:w="885"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67</w:t>
            </w:r>
          </w:p>
        </w:tc>
        <w:tc>
          <w:tcPr>
            <w:tcW w:w="1745" w:type="dxa"/>
            <w:vMerge w:val="restart"/>
            <w:tcBorders>
              <w:top w:val="nil"/>
              <w:left w:val="nil"/>
              <w:bottom w:val="single" w:color="000000" w:sz="4" w:space="0"/>
              <w:right w:val="single" w:color="000000" w:sz="4" w:space="0"/>
            </w:tcBorders>
            <w:shd w:val="clear" w:color="000000" w:fill="FFFFFF"/>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浪涌保护器</w:t>
            </w:r>
          </w:p>
        </w:tc>
        <w:tc>
          <w:tcPr>
            <w:tcW w:w="4119" w:type="dxa"/>
            <w:tcBorders>
              <w:top w:val="nil"/>
              <w:left w:val="nil"/>
              <w:bottom w:val="single" w:color="000000" w:sz="4" w:space="0"/>
              <w:right w:val="single" w:color="000000" w:sz="4" w:space="0"/>
            </w:tcBorders>
            <w:shd w:val="clear" w:color="000000" w:fill="FFFFFF"/>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1、名称：防浪涌保护器</w:t>
            </w:r>
          </w:p>
        </w:tc>
        <w:tc>
          <w:tcPr>
            <w:tcW w:w="885" w:type="dxa"/>
            <w:vMerge w:val="restart"/>
            <w:tcBorders>
              <w:top w:val="nil"/>
              <w:left w:val="nil"/>
              <w:bottom w:val="single" w:color="000000" w:sz="4" w:space="0"/>
              <w:right w:val="single" w:color="000000" w:sz="4" w:space="0"/>
            </w:tcBorders>
            <w:shd w:val="clear" w:color="000000" w:fill="FFFFFF"/>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个</w:t>
            </w:r>
          </w:p>
        </w:tc>
        <w:tc>
          <w:tcPr>
            <w:tcW w:w="886" w:type="dxa"/>
            <w:vMerge w:val="restart"/>
            <w:tcBorders>
              <w:top w:val="nil"/>
              <w:left w:val="nil"/>
              <w:bottom w:val="single" w:color="000000" w:sz="4" w:space="0"/>
              <w:right w:val="single" w:color="000000" w:sz="4" w:space="0"/>
            </w:tcBorders>
            <w:shd w:val="clear" w:color="000000" w:fill="FFFFFF"/>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2</w:t>
            </w:r>
          </w:p>
        </w:tc>
      </w:tr>
      <w:tr>
        <w:tblPrEx>
          <w:tblCellMar>
            <w:top w:w="0" w:type="dxa"/>
            <w:left w:w="108" w:type="dxa"/>
            <w:bottom w:w="0" w:type="dxa"/>
            <w:right w:w="108" w:type="dxa"/>
          </w:tblCellMar>
        </w:tblPrEx>
        <w:trPr>
          <w:trHeight w:val="450" w:hRule="atLeast"/>
        </w:trPr>
        <w:tc>
          <w:tcPr>
            <w:tcW w:w="885" w:type="dxa"/>
            <w:vMerge w:val="continue"/>
            <w:tcBorders>
              <w:top w:val="nil"/>
              <w:left w:val="single" w:color="000000" w:sz="8" w:space="0"/>
              <w:bottom w:val="single" w:color="000000" w:sz="4" w:space="0"/>
              <w:right w:val="single" w:color="000000" w:sz="4" w:space="0"/>
            </w:tcBorders>
            <w:shd w:val="clear" w:color="auto" w:fill="auto"/>
            <w:vAlign w:val="center"/>
          </w:tcPr>
          <w:p>
            <w:pPr>
              <w:jc w:val="center"/>
              <w:rPr>
                <w:rFonts w:ascii="宋体" w:hAnsi="宋体" w:cs="Arial"/>
                <w:color w:val="000000" w:themeColor="text1"/>
                <w:kern w:val="0"/>
                <w:szCs w:val="21"/>
                <w14:textFill>
                  <w14:solidFill>
                    <w14:schemeClr w14:val="tx1"/>
                  </w14:solidFill>
                </w14:textFill>
              </w:rPr>
            </w:pPr>
          </w:p>
        </w:tc>
        <w:tc>
          <w:tcPr>
            <w:tcW w:w="1745" w:type="dxa"/>
            <w:vMerge w:val="continue"/>
            <w:tcBorders>
              <w:top w:val="nil"/>
              <w:left w:val="nil"/>
              <w:bottom w:val="single" w:color="000000" w:sz="4" w:space="0"/>
              <w:right w:val="single" w:color="000000" w:sz="4" w:space="0"/>
            </w:tcBorders>
            <w:shd w:val="clear" w:color="000000" w:fill="FFFFFF"/>
            <w:vAlign w:val="center"/>
          </w:tcPr>
          <w:p>
            <w:pPr>
              <w:jc w:val="left"/>
              <w:rPr>
                <w:rFonts w:ascii="宋体" w:hAnsi="宋体" w:cs="Arial"/>
                <w:color w:val="000000" w:themeColor="text1"/>
                <w:kern w:val="0"/>
                <w:szCs w:val="21"/>
                <w14:textFill>
                  <w14:solidFill>
                    <w14:schemeClr w14:val="tx1"/>
                  </w14:solidFill>
                </w14:textFill>
              </w:rPr>
            </w:pPr>
          </w:p>
        </w:tc>
        <w:tc>
          <w:tcPr>
            <w:tcW w:w="4119" w:type="dxa"/>
            <w:tcBorders>
              <w:top w:val="nil"/>
              <w:left w:val="nil"/>
              <w:bottom w:val="single" w:color="000000" w:sz="4" w:space="0"/>
              <w:right w:val="single" w:color="000000" w:sz="4" w:space="0"/>
            </w:tcBorders>
            <w:shd w:val="clear" w:color="000000" w:fill="FFFFFF"/>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2、参考型号、规格：NPS01-FB(S)80/4,二级防雷</w:t>
            </w:r>
          </w:p>
        </w:tc>
        <w:tc>
          <w:tcPr>
            <w:tcW w:w="885" w:type="dxa"/>
            <w:vMerge w:val="continue"/>
            <w:tcBorders>
              <w:top w:val="nil"/>
              <w:left w:val="nil"/>
              <w:bottom w:val="single" w:color="000000" w:sz="4" w:space="0"/>
              <w:right w:val="single" w:color="000000" w:sz="4" w:space="0"/>
            </w:tcBorders>
            <w:shd w:val="clear" w:color="000000" w:fill="FFFFFF"/>
            <w:vAlign w:val="center"/>
          </w:tcPr>
          <w:p>
            <w:pPr>
              <w:jc w:val="center"/>
              <w:rPr>
                <w:rFonts w:ascii="宋体" w:hAnsi="宋体" w:cs="Arial"/>
                <w:color w:val="000000" w:themeColor="text1"/>
                <w:kern w:val="0"/>
                <w:szCs w:val="21"/>
                <w14:textFill>
                  <w14:solidFill>
                    <w14:schemeClr w14:val="tx1"/>
                  </w14:solidFill>
                </w14:textFill>
              </w:rPr>
            </w:pPr>
          </w:p>
        </w:tc>
        <w:tc>
          <w:tcPr>
            <w:tcW w:w="886" w:type="dxa"/>
            <w:vMerge w:val="continue"/>
            <w:tcBorders>
              <w:top w:val="nil"/>
              <w:left w:val="nil"/>
              <w:bottom w:val="single" w:color="000000" w:sz="4" w:space="0"/>
              <w:right w:val="single" w:color="000000" w:sz="4" w:space="0"/>
            </w:tcBorders>
            <w:shd w:val="clear" w:color="000000" w:fill="FFFFFF"/>
            <w:vAlign w:val="center"/>
          </w:tcPr>
          <w:p>
            <w:pPr>
              <w:jc w:val="right"/>
              <w:rPr>
                <w:rFonts w:ascii="宋体" w:hAnsi="宋体" w:cs="Arial"/>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69</w:t>
            </w:r>
          </w:p>
        </w:tc>
        <w:tc>
          <w:tcPr>
            <w:tcW w:w="1745"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机柜PDU</w:t>
            </w:r>
          </w:p>
        </w:tc>
        <w:tc>
          <w:tcPr>
            <w:tcW w:w="411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机柜PDU电源，国产，定制</w:t>
            </w:r>
          </w:p>
        </w:tc>
        <w:tc>
          <w:tcPr>
            <w:tcW w:w="88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个</w:t>
            </w:r>
          </w:p>
        </w:tc>
        <w:tc>
          <w:tcPr>
            <w:tcW w:w="88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16</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70</w:t>
            </w:r>
          </w:p>
        </w:tc>
        <w:tc>
          <w:tcPr>
            <w:tcW w:w="1745"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LED屏</w:t>
            </w:r>
          </w:p>
        </w:tc>
        <w:tc>
          <w:tcPr>
            <w:tcW w:w="411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主楼三层挂号处双基色LED屏，美普御景，5300*450 P3.75</w:t>
            </w:r>
          </w:p>
        </w:tc>
        <w:tc>
          <w:tcPr>
            <w:tcW w:w="88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台</w:t>
            </w:r>
          </w:p>
        </w:tc>
        <w:tc>
          <w:tcPr>
            <w:tcW w:w="88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1</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71</w:t>
            </w:r>
          </w:p>
        </w:tc>
        <w:tc>
          <w:tcPr>
            <w:tcW w:w="1745"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LED屏</w:t>
            </w:r>
          </w:p>
        </w:tc>
        <w:tc>
          <w:tcPr>
            <w:tcW w:w="4119"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b/>
                <w:bCs/>
                <w:color w:val="000000" w:themeColor="text1"/>
                <w:kern w:val="0"/>
                <w:sz w:val="24"/>
                <w14:textFill>
                  <w14:solidFill>
                    <w14:schemeClr w14:val="tx1"/>
                  </w14:solidFill>
                </w14:textFill>
              </w:rPr>
            </w:pPr>
            <w:r>
              <w:rPr>
                <w:rFonts w:hint="eastAsia" w:ascii="宋体" w:hAnsi="宋体" w:cs="宋体"/>
                <w:color w:val="000000"/>
                <w:kern w:val="0"/>
                <w:szCs w:val="21"/>
                <w:lang w:bidi="ar"/>
              </w:rPr>
              <w:t>体检楼一层交费处双基色LED屏，美普御景，4200*450 P10</w:t>
            </w:r>
          </w:p>
        </w:tc>
        <w:tc>
          <w:tcPr>
            <w:tcW w:w="88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台</w:t>
            </w:r>
          </w:p>
        </w:tc>
        <w:tc>
          <w:tcPr>
            <w:tcW w:w="88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1</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72</w:t>
            </w:r>
          </w:p>
        </w:tc>
        <w:tc>
          <w:tcPr>
            <w:tcW w:w="1745"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LED屏</w:t>
            </w:r>
          </w:p>
        </w:tc>
        <w:tc>
          <w:tcPr>
            <w:tcW w:w="411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体检楼一层大厅双基色LED屏，美普御景，4200*1600 P3.75</w:t>
            </w:r>
          </w:p>
        </w:tc>
        <w:tc>
          <w:tcPr>
            <w:tcW w:w="88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台</w:t>
            </w:r>
          </w:p>
        </w:tc>
        <w:tc>
          <w:tcPr>
            <w:tcW w:w="88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1</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73</w:t>
            </w:r>
          </w:p>
        </w:tc>
        <w:tc>
          <w:tcPr>
            <w:tcW w:w="1745"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LED屏</w:t>
            </w:r>
          </w:p>
        </w:tc>
        <w:tc>
          <w:tcPr>
            <w:tcW w:w="411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科教楼二层报告厅双基色LED屏，美普御景，12000*600 P3.75</w:t>
            </w:r>
          </w:p>
        </w:tc>
        <w:tc>
          <w:tcPr>
            <w:tcW w:w="88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台</w:t>
            </w:r>
          </w:p>
        </w:tc>
        <w:tc>
          <w:tcPr>
            <w:tcW w:w="88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1</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74</w:t>
            </w:r>
          </w:p>
        </w:tc>
        <w:tc>
          <w:tcPr>
            <w:tcW w:w="1745"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显示设备</w:t>
            </w:r>
          </w:p>
        </w:tc>
        <w:tc>
          <w:tcPr>
            <w:tcW w:w="411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电梯厅电视机，飞利浦，22寸22PFF2650/T3含挂架</w:t>
            </w:r>
          </w:p>
        </w:tc>
        <w:tc>
          <w:tcPr>
            <w:tcW w:w="88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台</w:t>
            </w:r>
          </w:p>
        </w:tc>
        <w:tc>
          <w:tcPr>
            <w:tcW w:w="88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84</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75</w:t>
            </w:r>
          </w:p>
        </w:tc>
        <w:tc>
          <w:tcPr>
            <w:tcW w:w="1745"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LED屏</w:t>
            </w:r>
          </w:p>
        </w:tc>
        <w:tc>
          <w:tcPr>
            <w:tcW w:w="411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主楼二层检验科双基色LED屏，美普御景，5.4*0.55 P3.75</w:t>
            </w:r>
          </w:p>
        </w:tc>
        <w:tc>
          <w:tcPr>
            <w:tcW w:w="88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台</w:t>
            </w:r>
          </w:p>
        </w:tc>
        <w:tc>
          <w:tcPr>
            <w:tcW w:w="88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112</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76</w:t>
            </w:r>
          </w:p>
        </w:tc>
        <w:tc>
          <w:tcPr>
            <w:tcW w:w="1745"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输入设备</w:t>
            </w:r>
          </w:p>
        </w:tc>
        <w:tc>
          <w:tcPr>
            <w:tcW w:w="411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控制系统硬件，美普御景，异步控制卡</w:t>
            </w:r>
          </w:p>
        </w:tc>
        <w:tc>
          <w:tcPr>
            <w:tcW w:w="88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台</w:t>
            </w:r>
          </w:p>
        </w:tc>
        <w:tc>
          <w:tcPr>
            <w:tcW w:w="88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14</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77</w:t>
            </w:r>
          </w:p>
        </w:tc>
        <w:tc>
          <w:tcPr>
            <w:tcW w:w="1745"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铁构件</w:t>
            </w:r>
          </w:p>
        </w:tc>
        <w:tc>
          <w:tcPr>
            <w:tcW w:w="411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框架结构,美普御景，定制</w:t>
            </w:r>
          </w:p>
        </w:tc>
        <w:tc>
          <w:tcPr>
            <w:tcW w:w="88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项</w:t>
            </w:r>
          </w:p>
        </w:tc>
        <w:tc>
          <w:tcPr>
            <w:tcW w:w="88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1</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78</w:t>
            </w:r>
          </w:p>
        </w:tc>
        <w:tc>
          <w:tcPr>
            <w:tcW w:w="1745"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软件</w:t>
            </w:r>
          </w:p>
        </w:tc>
        <w:tc>
          <w:tcPr>
            <w:tcW w:w="411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显示屏专用播放控制软件，美普御景，定制</w:t>
            </w:r>
          </w:p>
        </w:tc>
        <w:tc>
          <w:tcPr>
            <w:tcW w:w="88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套</w:t>
            </w:r>
          </w:p>
        </w:tc>
        <w:tc>
          <w:tcPr>
            <w:tcW w:w="88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1</w:t>
            </w:r>
          </w:p>
        </w:tc>
      </w:tr>
      <w:tr>
        <w:tblPrEx>
          <w:tblCellMar>
            <w:top w:w="0" w:type="dxa"/>
            <w:left w:w="108" w:type="dxa"/>
            <w:bottom w:w="0" w:type="dxa"/>
            <w:right w:w="108" w:type="dxa"/>
          </w:tblCellMar>
        </w:tblPrEx>
        <w:trPr>
          <w:trHeight w:val="450" w:hRule="atLeast"/>
        </w:trPr>
        <w:tc>
          <w:tcPr>
            <w:tcW w:w="8520" w:type="dxa"/>
            <w:gridSpan w:val="5"/>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 w:val="32"/>
                <w:szCs w:val="32"/>
                <w:lang w:bidi="ar"/>
              </w:rPr>
              <w:t>安防报警系统</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79</w:t>
            </w:r>
          </w:p>
        </w:tc>
        <w:tc>
          <w:tcPr>
            <w:tcW w:w="1745"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点型探测器</w:t>
            </w:r>
          </w:p>
        </w:tc>
        <w:tc>
          <w:tcPr>
            <w:tcW w:w="411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幕帘探测器，优周，ET520B</w:t>
            </w:r>
          </w:p>
        </w:tc>
        <w:tc>
          <w:tcPr>
            <w:tcW w:w="88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只</w:t>
            </w:r>
          </w:p>
        </w:tc>
        <w:tc>
          <w:tcPr>
            <w:tcW w:w="88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49</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80</w:t>
            </w:r>
          </w:p>
        </w:tc>
        <w:tc>
          <w:tcPr>
            <w:tcW w:w="1745"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模块</w:t>
            </w:r>
          </w:p>
        </w:tc>
        <w:tc>
          <w:tcPr>
            <w:tcW w:w="411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单路地址解码模块，优周，D7559</w:t>
            </w:r>
          </w:p>
        </w:tc>
        <w:tc>
          <w:tcPr>
            <w:tcW w:w="88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台</w:t>
            </w:r>
          </w:p>
        </w:tc>
        <w:tc>
          <w:tcPr>
            <w:tcW w:w="88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74</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81</w:t>
            </w:r>
          </w:p>
        </w:tc>
        <w:tc>
          <w:tcPr>
            <w:tcW w:w="1745"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小电器</w:t>
            </w:r>
          </w:p>
        </w:tc>
        <w:tc>
          <w:tcPr>
            <w:tcW w:w="4119"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b/>
                <w:bCs/>
                <w:color w:val="000000" w:themeColor="text1"/>
                <w:kern w:val="0"/>
                <w:sz w:val="24"/>
                <w14:textFill>
                  <w14:solidFill>
                    <w14:schemeClr w14:val="tx1"/>
                  </w14:solidFill>
                </w14:textFill>
              </w:rPr>
            </w:pPr>
            <w:r>
              <w:rPr>
                <w:rFonts w:hint="eastAsia" w:ascii="宋体" w:hAnsi="宋体" w:cs="宋体"/>
                <w:color w:val="000000"/>
                <w:kern w:val="0"/>
                <w:szCs w:val="21"/>
                <w:lang w:bidi="ar"/>
              </w:rPr>
              <w:t>总线隔离器，优周，H758</w:t>
            </w:r>
          </w:p>
        </w:tc>
        <w:tc>
          <w:tcPr>
            <w:tcW w:w="88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个</w:t>
            </w:r>
          </w:p>
        </w:tc>
        <w:tc>
          <w:tcPr>
            <w:tcW w:w="88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3</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82</w:t>
            </w:r>
          </w:p>
        </w:tc>
        <w:tc>
          <w:tcPr>
            <w:tcW w:w="1745"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按钮</w:t>
            </w:r>
          </w:p>
        </w:tc>
        <w:tc>
          <w:tcPr>
            <w:tcW w:w="411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紧急按钮，优周，SV-88</w:t>
            </w:r>
          </w:p>
        </w:tc>
        <w:tc>
          <w:tcPr>
            <w:tcW w:w="88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个</w:t>
            </w:r>
          </w:p>
        </w:tc>
        <w:tc>
          <w:tcPr>
            <w:tcW w:w="88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74</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83</w:t>
            </w:r>
          </w:p>
        </w:tc>
        <w:tc>
          <w:tcPr>
            <w:tcW w:w="1745"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小电器</w:t>
            </w:r>
          </w:p>
        </w:tc>
        <w:tc>
          <w:tcPr>
            <w:tcW w:w="411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报警电源，优周，E2-PW12D</w:t>
            </w:r>
          </w:p>
        </w:tc>
        <w:tc>
          <w:tcPr>
            <w:tcW w:w="88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个</w:t>
            </w:r>
          </w:p>
        </w:tc>
        <w:tc>
          <w:tcPr>
            <w:tcW w:w="88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8</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84</w:t>
            </w:r>
          </w:p>
        </w:tc>
        <w:tc>
          <w:tcPr>
            <w:tcW w:w="1745"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入侵报警控制器</w:t>
            </w:r>
          </w:p>
        </w:tc>
        <w:tc>
          <w:tcPr>
            <w:tcW w:w="411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报警主机，优周，H778S</w:t>
            </w:r>
          </w:p>
        </w:tc>
        <w:tc>
          <w:tcPr>
            <w:tcW w:w="88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套</w:t>
            </w:r>
          </w:p>
        </w:tc>
        <w:tc>
          <w:tcPr>
            <w:tcW w:w="88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1</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85</w:t>
            </w:r>
          </w:p>
        </w:tc>
        <w:tc>
          <w:tcPr>
            <w:tcW w:w="1745"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出入口目标识别设备</w:t>
            </w:r>
          </w:p>
        </w:tc>
        <w:tc>
          <w:tcPr>
            <w:tcW w:w="411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报警键盘，优周，H778SLCD</w:t>
            </w:r>
          </w:p>
        </w:tc>
        <w:tc>
          <w:tcPr>
            <w:tcW w:w="88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台</w:t>
            </w:r>
          </w:p>
        </w:tc>
        <w:tc>
          <w:tcPr>
            <w:tcW w:w="88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1</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86</w:t>
            </w:r>
          </w:p>
        </w:tc>
        <w:tc>
          <w:tcPr>
            <w:tcW w:w="1745"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报警汇接箱</w:t>
            </w:r>
          </w:p>
        </w:tc>
        <w:tc>
          <w:tcPr>
            <w:tcW w:w="411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报警汇接箱，国产，300*400*150</w:t>
            </w:r>
          </w:p>
        </w:tc>
        <w:tc>
          <w:tcPr>
            <w:tcW w:w="88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个</w:t>
            </w:r>
          </w:p>
        </w:tc>
        <w:tc>
          <w:tcPr>
            <w:tcW w:w="88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8</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87</w:t>
            </w:r>
          </w:p>
        </w:tc>
        <w:tc>
          <w:tcPr>
            <w:tcW w:w="1745"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IP模块</w:t>
            </w:r>
          </w:p>
        </w:tc>
        <w:tc>
          <w:tcPr>
            <w:tcW w:w="411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报警IP网络模块，优周，IP模块</w:t>
            </w:r>
          </w:p>
        </w:tc>
        <w:tc>
          <w:tcPr>
            <w:tcW w:w="88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个</w:t>
            </w:r>
          </w:p>
        </w:tc>
        <w:tc>
          <w:tcPr>
            <w:tcW w:w="88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1</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88</w:t>
            </w:r>
          </w:p>
        </w:tc>
        <w:tc>
          <w:tcPr>
            <w:tcW w:w="1745"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软件</w:t>
            </w:r>
          </w:p>
        </w:tc>
        <w:tc>
          <w:tcPr>
            <w:tcW w:w="411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网络型管理软件，优周，S901</w:t>
            </w:r>
          </w:p>
        </w:tc>
        <w:tc>
          <w:tcPr>
            <w:tcW w:w="88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套</w:t>
            </w:r>
          </w:p>
        </w:tc>
        <w:tc>
          <w:tcPr>
            <w:tcW w:w="88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1</w:t>
            </w:r>
          </w:p>
        </w:tc>
      </w:tr>
      <w:tr>
        <w:tblPrEx>
          <w:tblCellMar>
            <w:top w:w="0" w:type="dxa"/>
            <w:left w:w="108" w:type="dxa"/>
            <w:bottom w:w="0" w:type="dxa"/>
            <w:right w:w="108" w:type="dxa"/>
          </w:tblCellMar>
        </w:tblPrEx>
        <w:trPr>
          <w:trHeight w:val="450" w:hRule="atLeast"/>
        </w:trPr>
        <w:tc>
          <w:tcPr>
            <w:tcW w:w="8520" w:type="dxa"/>
            <w:gridSpan w:val="5"/>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 w:val="32"/>
                <w:szCs w:val="32"/>
                <w:lang w:bidi="ar"/>
              </w:rPr>
              <w:t>无线对讲系统</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89</w:t>
            </w:r>
          </w:p>
        </w:tc>
        <w:tc>
          <w:tcPr>
            <w:tcW w:w="1745"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基站设备</w:t>
            </w:r>
          </w:p>
        </w:tc>
        <w:tc>
          <w:tcPr>
            <w:tcW w:w="411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数字对讲机系统基站，摩托罗拉，XIR R8200</w:t>
            </w:r>
          </w:p>
        </w:tc>
        <w:tc>
          <w:tcPr>
            <w:tcW w:w="88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套</w:t>
            </w:r>
          </w:p>
        </w:tc>
        <w:tc>
          <w:tcPr>
            <w:tcW w:w="88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3</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90</w:t>
            </w:r>
          </w:p>
        </w:tc>
        <w:tc>
          <w:tcPr>
            <w:tcW w:w="1745"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对讲机</w:t>
            </w:r>
          </w:p>
        </w:tc>
        <w:tc>
          <w:tcPr>
            <w:tcW w:w="411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数字对讲机，摩托罗拉，C1200</w:t>
            </w:r>
          </w:p>
        </w:tc>
        <w:tc>
          <w:tcPr>
            <w:tcW w:w="88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台</w:t>
            </w:r>
          </w:p>
        </w:tc>
        <w:tc>
          <w:tcPr>
            <w:tcW w:w="88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60</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91</w:t>
            </w:r>
          </w:p>
        </w:tc>
        <w:tc>
          <w:tcPr>
            <w:tcW w:w="1745"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对讲机</w:t>
            </w:r>
          </w:p>
        </w:tc>
        <w:tc>
          <w:tcPr>
            <w:tcW w:w="411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数字台式对讲机，摩托罗拉，M8220</w:t>
            </w:r>
          </w:p>
        </w:tc>
        <w:tc>
          <w:tcPr>
            <w:tcW w:w="88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台</w:t>
            </w:r>
          </w:p>
        </w:tc>
        <w:tc>
          <w:tcPr>
            <w:tcW w:w="88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2</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92</w:t>
            </w:r>
          </w:p>
        </w:tc>
        <w:tc>
          <w:tcPr>
            <w:tcW w:w="1745"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小电器</w:t>
            </w:r>
          </w:p>
        </w:tc>
        <w:tc>
          <w:tcPr>
            <w:tcW w:w="411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双工器，苏州雨哥，YGSG-400M</w:t>
            </w:r>
          </w:p>
        </w:tc>
        <w:tc>
          <w:tcPr>
            <w:tcW w:w="88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个</w:t>
            </w:r>
          </w:p>
        </w:tc>
        <w:tc>
          <w:tcPr>
            <w:tcW w:w="88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2</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93</w:t>
            </w:r>
          </w:p>
        </w:tc>
        <w:tc>
          <w:tcPr>
            <w:tcW w:w="1745"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跳线</w:t>
            </w:r>
          </w:p>
        </w:tc>
        <w:tc>
          <w:tcPr>
            <w:tcW w:w="411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跳线，苏州雨哥，定制（-50-3）</w:t>
            </w:r>
          </w:p>
        </w:tc>
        <w:tc>
          <w:tcPr>
            <w:tcW w:w="88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条</w:t>
            </w:r>
          </w:p>
        </w:tc>
        <w:tc>
          <w:tcPr>
            <w:tcW w:w="88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135</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94</w:t>
            </w:r>
          </w:p>
        </w:tc>
        <w:tc>
          <w:tcPr>
            <w:tcW w:w="1745"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机柜、机架</w:t>
            </w:r>
          </w:p>
        </w:tc>
        <w:tc>
          <w:tcPr>
            <w:tcW w:w="411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标准机柜，42U</w:t>
            </w:r>
          </w:p>
        </w:tc>
        <w:tc>
          <w:tcPr>
            <w:tcW w:w="88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台</w:t>
            </w:r>
          </w:p>
        </w:tc>
        <w:tc>
          <w:tcPr>
            <w:tcW w:w="88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2</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95</w:t>
            </w:r>
          </w:p>
        </w:tc>
        <w:tc>
          <w:tcPr>
            <w:tcW w:w="1745"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干线设备</w:t>
            </w:r>
          </w:p>
        </w:tc>
        <w:tc>
          <w:tcPr>
            <w:tcW w:w="411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干线放大器，苏州雨哥，YGGF-450N</w:t>
            </w:r>
          </w:p>
        </w:tc>
        <w:tc>
          <w:tcPr>
            <w:tcW w:w="88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个</w:t>
            </w:r>
          </w:p>
        </w:tc>
        <w:tc>
          <w:tcPr>
            <w:tcW w:w="88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7</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96</w:t>
            </w:r>
          </w:p>
        </w:tc>
        <w:tc>
          <w:tcPr>
            <w:tcW w:w="1745"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射频同轴电缆</w:t>
            </w:r>
          </w:p>
        </w:tc>
        <w:tc>
          <w:tcPr>
            <w:tcW w:w="411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射频同轴电缆线，中天日立，HCAAY-50-12</w:t>
            </w:r>
          </w:p>
        </w:tc>
        <w:tc>
          <w:tcPr>
            <w:tcW w:w="88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m</w:t>
            </w:r>
          </w:p>
        </w:tc>
        <w:tc>
          <w:tcPr>
            <w:tcW w:w="88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5416</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97</w:t>
            </w:r>
          </w:p>
        </w:tc>
        <w:tc>
          <w:tcPr>
            <w:tcW w:w="1745"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全向天线、定向天线</w:t>
            </w:r>
          </w:p>
        </w:tc>
        <w:tc>
          <w:tcPr>
            <w:tcW w:w="411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室外全向天线，苏州雨哥，YGGZ-400M</w:t>
            </w:r>
          </w:p>
        </w:tc>
        <w:tc>
          <w:tcPr>
            <w:tcW w:w="88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副</w:t>
            </w:r>
          </w:p>
        </w:tc>
        <w:tc>
          <w:tcPr>
            <w:tcW w:w="88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1</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98</w:t>
            </w:r>
          </w:p>
        </w:tc>
        <w:tc>
          <w:tcPr>
            <w:tcW w:w="1745"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设备支架</w:t>
            </w:r>
          </w:p>
        </w:tc>
        <w:tc>
          <w:tcPr>
            <w:tcW w:w="411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天线支架，苏州雨哥，定做</w:t>
            </w:r>
          </w:p>
        </w:tc>
        <w:tc>
          <w:tcPr>
            <w:tcW w:w="88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套</w:t>
            </w:r>
          </w:p>
        </w:tc>
        <w:tc>
          <w:tcPr>
            <w:tcW w:w="88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1</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99</w:t>
            </w:r>
          </w:p>
        </w:tc>
        <w:tc>
          <w:tcPr>
            <w:tcW w:w="1745"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小电器</w:t>
            </w:r>
          </w:p>
        </w:tc>
        <w:tc>
          <w:tcPr>
            <w:tcW w:w="411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防雷器，苏州雨哥，CA-23RP</w:t>
            </w:r>
          </w:p>
        </w:tc>
        <w:tc>
          <w:tcPr>
            <w:tcW w:w="88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套</w:t>
            </w:r>
          </w:p>
        </w:tc>
        <w:tc>
          <w:tcPr>
            <w:tcW w:w="88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1</w:t>
            </w:r>
          </w:p>
        </w:tc>
      </w:tr>
      <w:tr>
        <w:tblPrEx>
          <w:tblCellMar>
            <w:top w:w="0" w:type="dxa"/>
            <w:left w:w="108" w:type="dxa"/>
            <w:bottom w:w="0" w:type="dxa"/>
            <w:right w:w="108" w:type="dxa"/>
          </w:tblCellMar>
        </w:tblPrEx>
        <w:trPr>
          <w:trHeight w:val="450" w:hRule="atLeast"/>
        </w:trPr>
        <w:tc>
          <w:tcPr>
            <w:tcW w:w="885"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100</w:t>
            </w:r>
          </w:p>
        </w:tc>
        <w:tc>
          <w:tcPr>
            <w:tcW w:w="1745"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全向天线、定向天线</w:t>
            </w:r>
          </w:p>
        </w:tc>
        <w:tc>
          <w:tcPr>
            <w:tcW w:w="4119"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b/>
                <w:bCs/>
                <w:color w:val="000000" w:themeColor="text1"/>
                <w:kern w:val="0"/>
                <w:szCs w:val="21"/>
                <w14:textFill>
                  <w14:solidFill>
                    <w14:schemeClr w14:val="tx1"/>
                  </w14:solidFill>
                </w14:textFill>
              </w:rPr>
            </w:pPr>
            <w:r>
              <w:rPr>
                <w:rFonts w:hint="eastAsia" w:ascii="宋体" w:hAnsi="宋体" w:cs="宋体"/>
                <w:color w:val="000000"/>
                <w:kern w:val="0"/>
                <w:szCs w:val="21"/>
                <w:lang w:bidi="ar"/>
              </w:rPr>
              <w:t>室内全向天线，苏州雨哥，CA-23RP</w:t>
            </w:r>
          </w:p>
        </w:tc>
        <w:tc>
          <w:tcPr>
            <w:tcW w:w="88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副</w:t>
            </w:r>
          </w:p>
        </w:tc>
        <w:tc>
          <w:tcPr>
            <w:tcW w:w="886" w:type="dxa"/>
            <w:tcBorders>
              <w:top w:val="single" w:color="000000" w:sz="4" w:space="0"/>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114</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101</w:t>
            </w:r>
          </w:p>
        </w:tc>
        <w:tc>
          <w:tcPr>
            <w:tcW w:w="1745"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小电器</w:t>
            </w:r>
          </w:p>
        </w:tc>
        <w:tc>
          <w:tcPr>
            <w:tcW w:w="411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耦合分配器，苏州雨哥，YGOH-400M</w:t>
            </w:r>
          </w:p>
        </w:tc>
        <w:tc>
          <w:tcPr>
            <w:tcW w:w="88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套</w:t>
            </w:r>
          </w:p>
        </w:tc>
        <w:tc>
          <w:tcPr>
            <w:tcW w:w="88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136</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102</w:t>
            </w:r>
          </w:p>
        </w:tc>
        <w:tc>
          <w:tcPr>
            <w:tcW w:w="1745"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小电器</w:t>
            </w:r>
          </w:p>
        </w:tc>
        <w:tc>
          <w:tcPr>
            <w:tcW w:w="411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二功率分配器，苏州雨哥，YGF-400-2</w:t>
            </w:r>
          </w:p>
        </w:tc>
        <w:tc>
          <w:tcPr>
            <w:tcW w:w="88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套</w:t>
            </w:r>
          </w:p>
        </w:tc>
        <w:tc>
          <w:tcPr>
            <w:tcW w:w="88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1</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103</w:t>
            </w:r>
          </w:p>
        </w:tc>
        <w:tc>
          <w:tcPr>
            <w:tcW w:w="1745"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小电器</w:t>
            </w:r>
          </w:p>
        </w:tc>
        <w:tc>
          <w:tcPr>
            <w:tcW w:w="411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连接器（公头），苏州雨哥，N-J1/2</w:t>
            </w:r>
          </w:p>
        </w:tc>
        <w:tc>
          <w:tcPr>
            <w:tcW w:w="88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个</w:t>
            </w:r>
          </w:p>
        </w:tc>
        <w:tc>
          <w:tcPr>
            <w:tcW w:w="88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330</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104</w:t>
            </w:r>
          </w:p>
        </w:tc>
        <w:tc>
          <w:tcPr>
            <w:tcW w:w="1745"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小电器</w:t>
            </w:r>
          </w:p>
        </w:tc>
        <w:tc>
          <w:tcPr>
            <w:tcW w:w="411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连接器（母头），苏州雨哥，M-J1/2</w:t>
            </w:r>
          </w:p>
        </w:tc>
        <w:tc>
          <w:tcPr>
            <w:tcW w:w="88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个</w:t>
            </w:r>
          </w:p>
        </w:tc>
        <w:tc>
          <w:tcPr>
            <w:tcW w:w="88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145</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105</w:t>
            </w:r>
          </w:p>
        </w:tc>
        <w:tc>
          <w:tcPr>
            <w:tcW w:w="1745"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小电器</w:t>
            </w:r>
          </w:p>
        </w:tc>
        <w:tc>
          <w:tcPr>
            <w:tcW w:w="411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直角弯连接器，苏州雨哥，N-50KW</w:t>
            </w:r>
          </w:p>
        </w:tc>
        <w:tc>
          <w:tcPr>
            <w:tcW w:w="88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个</w:t>
            </w:r>
          </w:p>
        </w:tc>
        <w:tc>
          <w:tcPr>
            <w:tcW w:w="88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240</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106</w:t>
            </w:r>
          </w:p>
        </w:tc>
        <w:tc>
          <w:tcPr>
            <w:tcW w:w="1745"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接收分路器</w:t>
            </w:r>
          </w:p>
        </w:tc>
        <w:tc>
          <w:tcPr>
            <w:tcW w:w="411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接收分路器，苏州雨哥，ZHF400M-6</w:t>
            </w:r>
          </w:p>
        </w:tc>
        <w:tc>
          <w:tcPr>
            <w:tcW w:w="88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个</w:t>
            </w:r>
          </w:p>
        </w:tc>
        <w:tc>
          <w:tcPr>
            <w:tcW w:w="88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1</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107</w:t>
            </w:r>
          </w:p>
        </w:tc>
        <w:tc>
          <w:tcPr>
            <w:tcW w:w="1745"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发射合路器</w:t>
            </w:r>
          </w:p>
        </w:tc>
        <w:tc>
          <w:tcPr>
            <w:tcW w:w="411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发射合路器，苏州雨哥，ZHH400M-6</w:t>
            </w:r>
          </w:p>
        </w:tc>
        <w:tc>
          <w:tcPr>
            <w:tcW w:w="88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个</w:t>
            </w:r>
          </w:p>
        </w:tc>
        <w:tc>
          <w:tcPr>
            <w:tcW w:w="88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1</w:t>
            </w:r>
          </w:p>
        </w:tc>
      </w:tr>
      <w:tr>
        <w:tblPrEx>
          <w:tblCellMar>
            <w:top w:w="0" w:type="dxa"/>
            <w:left w:w="108" w:type="dxa"/>
            <w:bottom w:w="0" w:type="dxa"/>
            <w:right w:w="108" w:type="dxa"/>
          </w:tblCellMar>
        </w:tblPrEx>
        <w:trPr>
          <w:trHeight w:val="450" w:hRule="atLeast"/>
        </w:trPr>
        <w:tc>
          <w:tcPr>
            <w:tcW w:w="8520" w:type="dxa"/>
            <w:gridSpan w:val="5"/>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 w:val="32"/>
                <w:szCs w:val="32"/>
                <w:lang w:bidi="ar"/>
              </w:rPr>
              <w:t xml:space="preserve"> DDC控制器</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108</w:t>
            </w:r>
          </w:p>
        </w:tc>
        <w:tc>
          <w:tcPr>
            <w:tcW w:w="1745"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控制器</w:t>
            </w:r>
          </w:p>
        </w:tc>
        <w:tc>
          <w:tcPr>
            <w:tcW w:w="411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BACnet/IP 路由,无I/O功能，Delta,DSM-RTR</w:t>
            </w:r>
          </w:p>
        </w:tc>
        <w:tc>
          <w:tcPr>
            <w:tcW w:w="88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台</w:t>
            </w:r>
          </w:p>
        </w:tc>
        <w:tc>
          <w:tcPr>
            <w:tcW w:w="88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7</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109</w:t>
            </w:r>
          </w:p>
        </w:tc>
        <w:tc>
          <w:tcPr>
            <w:tcW w:w="1745"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控制器</w:t>
            </w:r>
          </w:p>
        </w:tc>
        <w:tc>
          <w:tcPr>
            <w:tcW w:w="411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网络型BACnet/IP路由，无I/O功能，Delta,eN-CON</w:t>
            </w:r>
          </w:p>
        </w:tc>
        <w:tc>
          <w:tcPr>
            <w:tcW w:w="88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台</w:t>
            </w:r>
          </w:p>
        </w:tc>
        <w:tc>
          <w:tcPr>
            <w:tcW w:w="88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81</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110</w:t>
            </w:r>
          </w:p>
        </w:tc>
        <w:tc>
          <w:tcPr>
            <w:tcW w:w="1745"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模块</w:t>
            </w:r>
          </w:p>
        </w:tc>
        <w:tc>
          <w:tcPr>
            <w:tcW w:w="411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网络型应用控制器8x0:8BI c/w BACnet MS/TP，Delta,eN-MB800</w:t>
            </w:r>
          </w:p>
        </w:tc>
        <w:tc>
          <w:tcPr>
            <w:tcW w:w="88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台</w:t>
            </w:r>
          </w:p>
        </w:tc>
        <w:tc>
          <w:tcPr>
            <w:tcW w:w="88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40</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111</w:t>
            </w:r>
          </w:p>
        </w:tc>
        <w:tc>
          <w:tcPr>
            <w:tcW w:w="1745"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模块</w:t>
            </w:r>
          </w:p>
        </w:tc>
        <w:tc>
          <w:tcPr>
            <w:tcW w:w="411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网络型应用控制器8x8:8BI,8BO c/w BACnet MS/TP，Delta,eN-MB808</w:t>
            </w:r>
          </w:p>
        </w:tc>
        <w:tc>
          <w:tcPr>
            <w:tcW w:w="88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台</w:t>
            </w:r>
          </w:p>
        </w:tc>
        <w:tc>
          <w:tcPr>
            <w:tcW w:w="88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25</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112</w:t>
            </w:r>
          </w:p>
        </w:tc>
        <w:tc>
          <w:tcPr>
            <w:tcW w:w="1745"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模块</w:t>
            </w:r>
          </w:p>
        </w:tc>
        <w:tc>
          <w:tcPr>
            <w:tcW w:w="411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网络型应用控制器16x0:16BI c/w BACnet MS/TP，Delta,eN-MB1600</w:t>
            </w:r>
          </w:p>
        </w:tc>
        <w:tc>
          <w:tcPr>
            <w:tcW w:w="88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台</w:t>
            </w:r>
          </w:p>
        </w:tc>
        <w:tc>
          <w:tcPr>
            <w:tcW w:w="88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87</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113</w:t>
            </w:r>
          </w:p>
        </w:tc>
        <w:tc>
          <w:tcPr>
            <w:tcW w:w="1745"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模块</w:t>
            </w:r>
          </w:p>
        </w:tc>
        <w:tc>
          <w:tcPr>
            <w:tcW w:w="411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 xml:space="preserve">应用控制器11x10: 16IP, </w:t>
            </w:r>
            <w:r>
              <w:rPr>
                <w:rStyle w:val="51"/>
                <w:rFonts w:hint="default"/>
                <w:lang w:bidi="ar"/>
              </w:rPr>
              <w:t xml:space="preserve"> c/w BACnet MS/TP ，Delta,DAC-1600</w:t>
            </w:r>
          </w:p>
        </w:tc>
        <w:tc>
          <w:tcPr>
            <w:tcW w:w="88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台</w:t>
            </w:r>
          </w:p>
        </w:tc>
        <w:tc>
          <w:tcPr>
            <w:tcW w:w="88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3</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114</w:t>
            </w:r>
          </w:p>
        </w:tc>
        <w:tc>
          <w:tcPr>
            <w:tcW w:w="1745"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模块</w:t>
            </w:r>
          </w:p>
        </w:tc>
        <w:tc>
          <w:tcPr>
            <w:tcW w:w="4119"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b/>
                <w:bCs/>
                <w:color w:val="000000" w:themeColor="text1"/>
                <w:kern w:val="0"/>
                <w:szCs w:val="21"/>
                <w14:textFill>
                  <w14:solidFill>
                    <w14:schemeClr w14:val="tx1"/>
                  </w14:solidFill>
                </w14:textFill>
              </w:rPr>
            </w:pPr>
            <w:r>
              <w:rPr>
                <w:rFonts w:hint="eastAsia" w:ascii="宋体" w:hAnsi="宋体" w:cs="宋体"/>
                <w:color w:val="000000"/>
                <w:kern w:val="0"/>
                <w:szCs w:val="21"/>
                <w:lang w:bidi="ar"/>
              </w:rPr>
              <w:t>应用控制器11x10: 11IP, 4AO, 6BO c/w BACnet MS/TP ，Delta,DAC-1146</w:t>
            </w:r>
          </w:p>
        </w:tc>
        <w:tc>
          <w:tcPr>
            <w:tcW w:w="88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台</w:t>
            </w:r>
          </w:p>
        </w:tc>
        <w:tc>
          <w:tcPr>
            <w:tcW w:w="88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13</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115</w:t>
            </w:r>
          </w:p>
        </w:tc>
        <w:tc>
          <w:tcPr>
            <w:tcW w:w="1745"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模块</w:t>
            </w:r>
          </w:p>
        </w:tc>
        <w:tc>
          <w:tcPr>
            <w:tcW w:w="411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应用控制器3x4: 3IP,2AO, 2BO c/w BACnet MS/TP ，Delta,DAC-322</w:t>
            </w:r>
          </w:p>
        </w:tc>
        <w:tc>
          <w:tcPr>
            <w:tcW w:w="88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台</w:t>
            </w:r>
          </w:p>
        </w:tc>
        <w:tc>
          <w:tcPr>
            <w:tcW w:w="88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36</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116</w:t>
            </w:r>
          </w:p>
        </w:tc>
        <w:tc>
          <w:tcPr>
            <w:tcW w:w="1745"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模块</w:t>
            </w:r>
          </w:p>
        </w:tc>
        <w:tc>
          <w:tcPr>
            <w:tcW w:w="411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应用控制器6x6: 6IP, 3AO, 3BO c/w BACnet MS/TP，Delta,DAC-633</w:t>
            </w:r>
          </w:p>
        </w:tc>
        <w:tc>
          <w:tcPr>
            <w:tcW w:w="88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台</w:t>
            </w:r>
          </w:p>
        </w:tc>
        <w:tc>
          <w:tcPr>
            <w:tcW w:w="88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23</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117</w:t>
            </w:r>
          </w:p>
        </w:tc>
        <w:tc>
          <w:tcPr>
            <w:tcW w:w="1745"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模块</w:t>
            </w:r>
          </w:p>
        </w:tc>
        <w:tc>
          <w:tcPr>
            <w:tcW w:w="411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 xml:space="preserve">应用控制器6x6: 6IP, </w:t>
            </w:r>
            <w:r>
              <w:rPr>
                <w:rStyle w:val="51"/>
                <w:rFonts w:hint="default"/>
                <w:lang w:bidi="ar"/>
              </w:rPr>
              <w:t xml:space="preserve"> 6BO c/w BACnet MS/TP，Delta,DAC-606</w:t>
            </w:r>
          </w:p>
        </w:tc>
        <w:tc>
          <w:tcPr>
            <w:tcW w:w="88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台</w:t>
            </w:r>
          </w:p>
        </w:tc>
        <w:tc>
          <w:tcPr>
            <w:tcW w:w="88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2</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118</w:t>
            </w:r>
          </w:p>
        </w:tc>
        <w:tc>
          <w:tcPr>
            <w:tcW w:w="1745"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模块</w:t>
            </w:r>
          </w:p>
        </w:tc>
        <w:tc>
          <w:tcPr>
            <w:tcW w:w="411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远程I/O, LINKnet 设备, I/O 模块: 4IP (可作为BACnet MS/TP 设备使用），Delta,DFM-400</w:t>
            </w:r>
          </w:p>
        </w:tc>
        <w:tc>
          <w:tcPr>
            <w:tcW w:w="88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台</w:t>
            </w:r>
          </w:p>
        </w:tc>
        <w:tc>
          <w:tcPr>
            <w:tcW w:w="88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1</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119</w:t>
            </w:r>
          </w:p>
        </w:tc>
        <w:tc>
          <w:tcPr>
            <w:tcW w:w="1745"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模块</w:t>
            </w:r>
          </w:p>
        </w:tc>
        <w:tc>
          <w:tcPr>
            <w:tcW w:w="411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远程I/O, LINKnet 设备, I/O 模块: 4IP, 4A0，Delta,DFM-440</w:t>
            </w:r>
          </w:p>
        </w:tc>
        <w:tc>
          <w:tcPr>
            <w:tcW w:w="88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台</w:t>
            </w:r>
          </w:p>
        </w:tc>
        <w:tc>
          <w:tcPr>
            <w:tcW w:w="88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2</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120</w:t>
            </w:r>
          </w:p>
        </w:tc>
        <w:tc>
          <w:tcPr>
            <w:tcW w:w="1745"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输入设备</w:t>
            </w:r>
          </w:p>
        </w:tc>
        <w:tc>
          <w:tcPr>
            <w:tcW w:w="411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eN连接器，Delta,eN-Link</w:t>
            </w:r>
          </w:p>
        </w:tc>
        <w:tc>
          <w:tcPr>
            <w:tcW w:w="88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台</w:t>
            </w:r>
          </w:p>
        </w:tc>
        <w:tc>
          <w:tcPr>
            <w:tcW w:w="88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154</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kern w:val="0"/>
                <w:szCs w:val="21"/>
                <w:lang w:bidi="ar"/>
              </w:rPr>
              <w:t>121</w:t>
            </w:r>
          </w:p>
        </w:tc>
        <w:tc>
          <w:tcPr>
            <w:tcW w:w="1745"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控制箱</w:t>
            </w:r>
          </w:p>
        </w:tc>
        <w:tc>
          <w:tcPr>
            <w:tcW w:w="4119"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DDC箱成套，Delta,定制</w:t>
            </w:r>
          </w:p>
        </w:tc>
        <w:tc>
          <w:tcPr>
            <w:tcW w:w="88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台</w:t>
            </w:r>
          </w:p>
        </w:tc>
        <w:tc>
          <w:tcPr>
            <w:tcW w:w="88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90</w:t>
            </w:r>
          </w:p>
        </w:tc>
      </w:tr>
      <w:tr>
        <w:tblPrEx>
          <w:tblCellMar>
            <w:top w:w="0" w:type="dxa"/>
            <w:left w:w="108" w:type="dxa"/>
            <w:bottom w:w="0" w:type="dxa"/>
            <w:right w:w="108" w:type="dxa"/>
          </w:tblCellMar>
        </w:tblPrEx>
        <w:trPr>
          <w:trHeight w:val="450" w:hRule="atLeast"/>
        </w:trPr>
        <w:tc>
          <w:tcPr>
            <w:tcW w:w="8520" w:type="dxa"/>
            <w:gridSpan w:val="5"/>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 w:val="32"/>
                <w:szCs w:val="32"/>
                <w:lang w:bidi="ar"/>
              </w:rPr>
              <w:t xml:space="preserve"> 传感器、执行器</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kern w:val="0"/>
                <w:szCs w:val="21"/>
                <w:lang w:bidi="ar"/>
              </w:rPr>
              <w:t>122</w:t>
            </w:r>
          </w:p>
        </w:tc>
        <w:tc>
          <w:tcPr>
            <w:tcW w:w="174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传感器</w:t>
            </w:r>
          </w:p>
        </w:tc>
        <w:tc>
          <w:tcPr>
            <w:tcW w:w="4119"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风道温度传感器，Delta,</w:t>
            </w:r>
          </w:p>
        </w:tc>
        <w:tc>
          <w:tcPr>
            <w:tcW w:w="88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个</w:t>
            </w:r>
          </w:p>
        </w:tc>
        <w:tc>
          <w:tcPr>
            <w:tcW w:w="88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67</w:t>
            </w:r>
          </w:p>
        </w:tc>
      </w:tr>
      <w:tr>
        <w:tblPrEx>
          <w:tblCellMar>
            <w:top w:w="0" w:type="dxa"/>
            <w:left w:w="108" w:type="dxa"/>
            <w:bottom w:w="0" w:type="dxa"/>
            <w:right w:w="108" w:type="dxa"/>
          </w:tblCellMar>
        </w:tblPrEx>
        <w:trPr>
          <w:trHeight w:val="450" w:hRule="atLeast"/>
        </w:trPr>
        <w:tc>
          <w:tcPr>
            <w:tcW w:w="885"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kern w:val="0"/>
                <w:szCs w:val="21"/>
                <w:lang w:bidi="ar"/>
              </w:rPr>
              <w:t>123</w:t>
            </w:r>
          </w:p>
        </w:tc>
        <w:tc>
          <w:tcPr>
            <w:tcW w:w="1745"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传感器</w:t>
            </w:r>
          </w:p>
        </w:tc>
        <w:tc>
          <w:tcPr>
            <w:tcW w:w="4119"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b/>
                <w:bCs/>
                <w:color w:val="000000" w:themeColor="text1"/>
                <w:kern w:val="0"/>
                <w:szCs w:val="21"/>
                <w14:textFill>
                  <w14:solidFill>
                    <w14:schemeClr w14:val="tx1"/>
                  </w14:solidFill>
                </w14:textFill>
              </w:rPr>
            </w:pPr>
            <w:r>
              <w:rPr>
                <w:rFonts w:hint="eastAsia" w:ascii="宋体" w:hAnsi="宋体" w:cs="宋体"/>
                <w:color w:val="000000"/>
                <w:kern w:val="0"/>
                <w:szCs w:val="21"/>
                <w:lang w:bidi="ar"/>
              </w:rPr>
              <w:t>风道温湿度传感器，Delta,402100Z</w:t>
            </w:r>
          </w:p>
        </w:tc>
        <w:tc>
          <w:tcPr>
            <w:tcW w:w="88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个</w:t>
            </w:r>
          </w:p>
        </w:tc>
        <w:tc>
          <w:tcPr>
            <w:tcW w:w="88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12</w:t>
            </w:r>
          </w:p>
        </w:tc>
      </w:tr>
      <w:tr>
        <w:tblPrEx>
          <w:tblCellMar>
            <w:top w:w="0" w:type="dxa"/>
            <w:left w:w="108" w:type="dxa"/>
            <w:bottom w:w="0" w:type="dxa"/>
            <w:right w:w="108" w:type="dxa"/>
          </w:tblCellMar>
        </w:tblPrEx>
        <w:trPr>
          <w:trHeight w:val="450" w:hRule="atLeast"/>
        </w:trPr>
        <w:tc>
          <w:tcPr>
            <w:tcW w:w="885" w:type="dxa"/>
            <w:vMerge w:val="continue"/>
            <w:tcBorders>
              <w:top w:val="nil"/>
              <w:left w:val="single" w:color="000000" w:sz="8" w:space="0"/>
              <w:bottom w:val="single" w:color="000000" w:sz="4" w:space="0"/>
              <w:right w:val="single" w:color="000000" w:sz="4" w:space="0"/>
            </w:tcBorders>
            <w:shd w:val="clear" w:color="auto" w:fill="auto"/>
            <w:vAlign w:val="center"/>
          </w:tcPr>
          <w:p>
            <w:pPr>
              <w:jc w:val="center"/>
              <w:rPr>
                <w:rFonts w:ascii="宋体" w:hAnsi="宋体" w:cs="宋体"/>
                <w:color w:val="000000" w:themeColor="text1"/>
                <w:szCs w:val="21"/>
                <w14:textFill>
                  <w14:solidFill>
                    <w14:schemeClr w14:val="tx1"/>
                  </w14:solidFill>
                </w14:textFill>
              </w:rPr>
            </w:pPr>
          </w:p>
        </w:tc>
        <w:tc>
          <w:tcPr>
            <w:tcW w:w="1745"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传感器</w:t>
            </w:r>
          </w:p>
        </w:tc>
        <w:tc>
          <w:tcPr>
            <w:tcW w:w="4119"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风压差开关50 -- 500 Pa，Delta,416001C</w:t>
            </w:r>
          </w:p>
        </w:tc>
        <w:tc>
          <w:tcPr>
            <w:tcW w:w="88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个</w:t>
            </w:r>
          </w:p>
        </w:tc>
        <w:tc>
          <w:tcPr>
            <w:tcW w:w="88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265</w:t>
            </w:r>
          </w:p>
        </w:tc>
      </w:tr>
      <w:tr>
        <w:tblPrEx>
          <w:tblCellMar>
            <w:top w:w="0" w:type="dxa"/>
            <w:left w:w="108" w:type="dxa"/>
            <w:bottom w:w="0" w:type="dxa"/>
            <w:right w:w="108" w:type="dxa"/>
          </w:tblCellMar>
        </w:tblPrEx>
        <w:trPr>
          <w:trHeight w:val="450" w:hRule="atLeast"/>
        </w:trPr>
        <w:tc>
          <w:tcPr>
            <w:tcW w:w="885"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kern w:val="0"/>
                <w:szCs w:val="21"/>
                <w:lang w:bidi="ar"/>
              </w:rPr>
              <w:t>124</w:t>
            </w:r>
          </w:p>
        </w:tc>
        <w:tc>
          <w:tcPr>
            <w:tcW w:w="1745"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传感器</w:t>
            </w:r>
          </w:p>
        </w:tc>
        <w:tc>
          <w:tcPr>
            <w:tcW w:w="4119"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水液位开关，Delta,MAC3</w:t>
            </w:r>
          </w:p>
        </w:tc>
        <w:tc>
          <w:tcPr>
            <w:tcW w:w="88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个</w:t>
            </w:r>
          </w:p>
        </w:tc>
        <w:tc>
          <w:tcPr>
            <w:tcW w:w="88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158</w:t>
            </w:r>
          </w:p>
        </w:tc>
      </w:tr>
      <w:tr>
        <w:tblPrEx>
          <w:tblCellMar>
            <w:top w:w="0" w:type="dxa"/>
            <w:left w:w="108" w:type="dxa"/>
            <w:bottom w:w="0" w:type="dxa"/>
            <w:right w:w="108" w:type="dxa"/>
          </w:tblCellMar>
        </w:tblPrEx>
        <w:trPr>
          <w:trHeight w:val="450" w:hRule="atLeast"/>
        </w:trPr>
        <w:tc>
          <w:tcPr>
            <w:tcW w:w="885" w:type="dxa"/>
            <w:vMerge w:val="continue"/>
            <w:tcBorders>
              <w:top w:val="nil"/>
              <w:left w:val="single" w:color="000000" w:sz="8" w:space="0"/>
              <w:bottom w:val="single" w:color="000000" w:sz="4" w:space="0"/>
              <w:right w:val="single" w:color="000000" w:sz="4" w:space="0"/>
            </w:tcBorders>
            <w:shd w:val="clear" w:color="auto" w:fill="auto"/>
            <w:vAlign w:val="center"/>
          </w:tcPr>
          <w:p>
            <w:pPr>
              <w:jc w:val="center"/>
              <w:rPr>
                <w:rFonts w:ascii="宋体" w:hAnsi="宋体" w:cs="宋体"/>
                <w:color w:val="000000" w:themeColor="text1"/>
                <w:szCs w:val="21"/>
                <w14:textFill>
                  <w14:solidFill>
                    <w14:schemeClr w14:val="tx1"/>
                  </w14:solidFill>
                </w14:textFill>
              </w:rPr>
            </w:pPr>
          </w:p>
        </w:tc>
        <w:tc>
          <w:tcPr>
            <w:tcW w:w="1745"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传感器</w:t>
            </w:r>
          </w:p>
        </w:tc>
        <w:tc>
          <w:tcPr>
            <w:tcW w:w="4119"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壁挂CO2传感器，Delta,421011Z</w:t>
            </w:r>
          </w:p>
        </w:tc>
        <w:tc>
          <w:tcPr>
            <w:tcW w:w="88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个</w:t>
            </w:r>
          </w:p>
        </w:tc>
        <w:tc>
          <w:tcPr>
            <w:tcW w:w="88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67</w:t>
            </w:r>
          </w:p>
        </w:tc>
      </w:tr>
      <w:tr>
        <w:tblPrEx>
          <w:tblCellMar>
            <w:top w:w="0" w:type="dxa"/>
            <w:left w:w="108" w:type="dxa"/>
            <w:bottom w:w="0" w:type="dxa"/>
            <w:right w:w="108" w:type="dxa"/>
          </w:tblCellMar>
        </w:tblPrEx>
        <w:trPr>
          <w:trHeight w:val="450" w:hRule="atLeast"/>
        </w:trPr>
        <w:tc>
          <w:tcPr>
            <w:tcW w:w="885"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kern w:val="0"/>
                <w:szCs w:val="21"/>
                <w:lang w:bidi="ar"/>
              </w:rPr>
              <w:t>125</w:t>
            </w:r>
          </w:p>
        </w:tc>
        <w:tc>
          <w:tcPr>
            <w:tcW w:w="1745"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传感器</w:t>
            </w:r>
          </w:p>
        </w:tc>
        <w:tc>
          <w:tcPr>
            <w:tcW w:w="4119"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壁挂CO传感器，Delta,421100Z</w:t>
            </w:r>
          </w:p>
        </w:tc>
        <w:tc>
          <w:tcPr>
            <w:tcW w:w="88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个</w:t>
            </w:r>
          </w:p>
        </w:tc>
        <w:tc>
          <w:tcPr>
            <w:tcW w:w="88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62</w:t>
            </w:r>
          </w:p>
        </w:tc>
      </w:tr>
      <w:tr>
        <w:tblPrEx>
          <w:tblCellMar>
            <w:top w:w="0" w:type="dxa"/>
            <w:left w:w="108" w:type="dxa"/>
            <w:bottom w:w="0" w:type="dxa"/>
            <w:right w:w="108" w:type="dxa"/>
          </w:tblCellMar>
        </w:tblPrEx>
        <w:trPr>
          <w:trHeight w:val="450" w:hRule="atLeast"/>
        </w:trPr>
        <w:tc>
          <w:tcPr>
            <w:tcW w:w="885" w:type="dxa"/>
            <w:vMerge w:val="continue"/>
            <w:tcBorders>
              <w:top w:val="nil"/>
              <w:left w:val="single" w:color="000000" w:sz="8" w:space="0"/>
              <w:bottom w:val="single" w:color="000000" w:sz="4" w:space="0"/>
              <w:right w:val="single" w:color="000000" w:sz="4" w:space="0"/>
            </w:tcBorders>
            <w:shd w:val="clear" w:color="auto" w:fill="auto"/>
            <w:vAlign w:val="center"/>
          </w:tcPr>
          <w:p>
            <w:pPr>
              <w:jc w:val="center"/>
              <w:rPr>
                <w:rFonts w:ascii="宋体" w:hAnsi="宋体" w:cs="宋体"/>
                <w:color w:val="000000" w:themeColor="text1"/>
                <w:szCs w:val="21"/>
                <w14:textFill>
                  <w14:solidFill>
                    <w14:schemeClr w14:val="tx1"/>
                  </w14:solidFill>
                </w14:textFill>
              </w:rPr>
            </w:pPr>
          </w:p>
        </w:tc>
        <w:tc>
          <w:tcPr>
            <w:tcW w:w="1745"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传感器</w:t>
            </w:r>
          </w:p>
        </w:tc>
        <w:tc>
          <w:tcPr>
            <w:tcW w:w="4119"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风道CO2传感器，Delta,421002C</w:t>
            </w:r>
          </w:p>
        </w:tc>
        <w:tc>
          <w:tcPr>
            <w:tcW w:w="88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个</w:t>
            </w:r>
          </w:p>
        </w:tc>
        <w:tc>
          <w:tcPr>
            <w:tcW w:w="88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6</w:t>
            </w:r>
          </w:p>
        </w:tc>
      </w:tr>
      <w:tr>
        <w:tblPrEx>
          <w:tblCellMar>
            <w:top w:w="0" w:type="dxa"/>
            <w:left w:w="108" w:type="dxa"/>
            <w:bottom w:w="0" w:type="dxa"/>
            <w:right w:w="108" w:type="dxa"/>
          </w:tblCellMar>
        </w:tblPrEx>
        <w:trPr>
          <w:trHeight w:val="450" w:hRule="atLeast"/>
        </w:trPr>
        <w:tc>
          <w:tcPr>
            <w:tcW w:w="885"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kern w:val="0"/>
                <w:szCs w:val="21"/>
                <w:lang w:bidi="ar"/>
              </w:rPr>
              <w:t>126</w:t>
            </w:r>
          </w:p>
        </w:tc>
        <w:tc>
          <w:tcPr>
            <w:tcW w:w="1745"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执行机构设备</w:t>
            </w:r>
          </w:p>
        </w:tc>
        <w:tc>
          <w:tcPr>
            <w:tcW w:w="4119"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开关风门执行器，elta,487010GA</w:t>
            </w:r>
          </w:p>
        </w:tc>
        <w:tc>
          <w:tcPr>
            <w:tcW w:w="88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个</w:t>
            </w:r>
          </w:p>
        </w:tc>
        <w:tc>
          <w:tcPr>
            <w:tcW w:w="88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68</w:t>
            </w:r>
          </w:p>
        </w:tc>
      </w:tr>
      <w:tr>
        <w:tblPrEx>
          <w:tblCellMar>
            <w:top w:w="0" w:type="dxa"/>
            <w:left w:w="108" w:type="dxa"/>
            <w:bottom w:w="0" w:type="dxa"/>
            <w:right w:w="108" w:type="dxa"/>
          </w:tblCellMar>
        </w:tblPrEx>
        <w:trPr>
          <w:trHeight w:val="450" w:hRule="atLeast"/>
        </w:trPr>
        <w:tc>
          <w:tcPr>
            <w:tcW w:w="885" w:type="dxa"/>
            <w:vMerge w:val="continue"/>
            <w:tcBorders>
              <w:top w:val="nil"/>
              <w:left w:val="single" w:color="000000" w:sz="8" w:space="0"/>
              <w:bottom w:val="single" w:color="000000" w:sz="4" w:space="0"/>
              <w:right w:val="single" w:color="000000" w:sz="4" w:space="0"/>
            </w:tcBorders>
            <w:shd w:val="clear" w:color="auto" w:fill="auto"/>
            <w:vAlign w:val="center"/>
          </w:tcPr>
          <w:p>
            <w:pPr>
              <w:jc w:val="center"/>
              <w:rPr>
                <w:rFonts w:ascii="宋体" w:hAnsi="宋体" w:cs="宋体"/>
                <w:color w:val="000000" w:themeColor="text1"/>
                <w:szCs w:val="21"/>
                <w14:textFill>
                  <w14:solidFill>
                    <w14:schemeClr w14:val="tx1"/>
                  </w14:solidFill>
                </w14:textFill>
              </w:rPr>
            </w:pPr>
          </w:p>
        </w:tc>
        <w:tc>
          <w:tcPr>
            <w:tcW w:w="1745"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执行机构设备</w:t>
            </w:r>
          </w:p>
        </w:tc>
        <w:tc>
          <w:tcPr>
            <w:tcW w:w="4119"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模拟风门执行器，Delta,487510G</w:t>
            </w:r>
          </w:p>
        </w:tc>
        <w:tc>
          <w:tcPr>
            <w:tcW w:w="88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个</w:t>
            </w:r>
          </w:p>
        </w:tc>
        <w:tc>
          <w:tcPr>
            <w:tcW w:w="88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6</w:t>
            </w:r>
          </w:p>
        </w:tc>
      </w:tr>
      <w:tr>
        <w:tblPrEx>
          <w:tblCellMar>
            <w:top w:w="0" w:type="dxa"/>
            <w:left w:w="108" w:type="dxa"/>
            <w:bottom w:w="0" w:type="dxa"/>
            <w:right w:w="108" w:type="dxa"/>
          </w:tblCellMar>
        </w:tblPrEx>
        <w:trPr>
          <w:trHeight w:val="450" w:hRule="atLeast"/>
        </w:trPr>
        <w:tc>
          <w:tcPr>
            <w:tcW w:w="8520" w:type="dxa"/>
            <w:gridSpan w:val="5"/>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 w:val="32"/>
                <w:szCs w:val="32"/>
                <w:lang w:bidi="ar"/>
              </w:rPr>
              <w:t>智能照明</w:t>
            </w:r>
          </w:p>
        </w:tc>
      </w:tr>
      <w:tr>
        <w:tblPrEx>
          <w:tblCellMar>
            <w:top w:w="0" w:type="dxa"/>
            <w:left w:w="108" w:type="dxa"/>
            <w:bottom w:w="0" w:type="dxa"/>
            <w:right w:w="108" w:type="dxa"/>
          </w:tblCellMar>
        </w:tblPrEx>
        <w:trPr>
          <w:trHeight w:val="450" w:hRule="atLeast"/>
        </w:trPr>
        <w:tc>
          <w:tcPr>
            <w:tcW w:w="885"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kern w:val="0"/>
                <w:szCs w:val="21"/>
                <w:lang w:bidi="ar"/>
              </w:rPr>
              <w:t>127</w:t>
            </w:r>
          </w:p>
        </w:tc>
        <w:tc>
          <w:tcPr>
            <w:tcW w:w="1745"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服务器</w:t>
            </w:r>
          </w:p>
        </w:tc>
        <w:tc>
          <w:tcPr>
            <w:tcW w:w="4119"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智能照明系统服务器，Delta，定制</w:t>
            </w:r>
          </w:p>
        </w:tc>
        <w:tc>
          <w:tcPr>
            <w:tcW w:w="88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台</w:t>
            </w:r>
          </w:p>
        </w:tc>
        <w:tc>
          <w:tcPr>
            <w:tcW w:w="88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1</w:t>
            </w:r>
          </w:p>
        </w:tc>
      </w:tr>
      <w:tr>
        <w:tblPrEx>
          <w:tblCellMar>
            <w:top w:w="0" w:type="dxa"/>
            <w:left w:w="108" w:type="dxa"/>
            <w:bottom w:w="0" w:type="dxa"/>
            <w:right w:w="108" w:type="dxa"/>
          </w:tblCellMar>
        </w:tblPrEx>
        <w:trPr>
          <w:trHeight w:val="450" w:hRule="atLeast"/>
        </w:trPr>
        <w:tc>
          <w:tcPr>
            <w:tcW w:w="885" w:type="dxa"/>
            <w:vMerge w:val="continue"/>
            <w:tcBorders>
              <w:top w:val="nil"/>
              <w:left w:val="single" w:color="000000" w:sz="8" w:space="0"/>
              <w:bottom w:val="single" w:color="000000" w:sz="4" w:space="0"/>
              <w:right w:val="single" w:color="000000" w:sz="4" w:space="0"/>
            </w:tcBorders>
            <w:shd w:val="clear" w:color="auto" w:fill="auto"/>
            <w:vAlign w:val="center"/>
          </w:tcPr>
          <w:p>
            <w:pPr>
              <w:jc w:val="center"/>
              <w:rPr>
                <w:rFonts w:ascii="宋体" w:hAnsi="宋体" w:cs="宋体"/>
                <w:color w:val="000000" w:themeColor="text1"/>
                <w:szCs w:val="21"/>
                <w14:textFill>
                  <w14:solidFill>
                    <w14:schemeClr w14:val="tx1"/>
                  </w14:solidFill>
                </w14:textFill>
              </w:rPr>
            </w:pPr>
          </w:p>
        </w:tc>
        <w:tc>
          <w:tcPr>
            <w:tcW w:w="1745"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打印机</w:t>
            </w:r>
          </w:p>
        </w:tc>
        <w:tc>
          <w:tcPr>
            <w:tcW w:w="4119"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打印机，惠普，HP1020</w:t>
            </w:r>
          </w:p>
        </w:tc>
        <w:tc>
          <w:tcPr>
            <w:tcW w:w="88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台</w:t>
            </w:r>
          </w:p>
        </w:tc>
        <w:tc>
          <w:tcPr>
            <w:tcW w:w="88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1</w:t>
            </w:r>
          </w:p>
        </w:tc>
      </w:tr>
      <w:tr>
        <w:tblPrEx>
          <w:tblCellMar>
            <w:top w:w="0" w:type="dxa"/>
            <w:left w:w="108" w:type="dxa"/>
            <w:bottom w:w="0" w:type="dxa"/>
            <w:right w:w="108" w:type="dxa"/>
          </w:tblCellMar>
        </w:tblPrEx>
        <w:trPr>
          <w:trHeight w:val="450" w:hRule="atLeast"/>
        </w:trPr>
        <w:tc>
          <w:tcPr>
            <w:tcW w:w="885"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kern w:val="0"/>
                <w:szCs w:val="21"/>
                <w:lang w:bidi="ar"/>
              </w:rPr>
              <w:t>128</w:t>
            </w:r>
          </w:p>
        </w:tc>
        <w:tc>
          <w:tcPr>
            <w:tcW w:w="1745"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集线器</w:t>
            </w:r>
          </w:p>
        </w:tc>
        <w:tc>
          <w:tcPr>
            <w:tcW w:w="4119"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以太网集线器，Delta，配套</w:t>
            </w:r>
          </w:p>
        </w:tc>
        <w:tc>
          <w:tcPr>
            <w:tcW w:w="88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台</w:t>
            </w:r>
          </w:p>
        </w:tc>
        <w:tc>
          <w:tcPr>
            <w:tcW w:w="88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1</w:t>
            </w:r>
          </w:p>
        </w:tc>
      </w:tr>
      <w:tr>
        <w:tblPrEx>
          <w:tblCellMar>
            <w:top w:w="0" w:type="dxa"/>
            <w:left w:w="108" w:type="dxa"/>
            <w:bottom w:w="0" w:type="dxa"/>
            <w:right w:w="108" w:type="dxa"/>
          </w:tblCellMar>
        </w:tblPrEx>
        <w:trPr>
          <w:trHeight w:val="450" w:hRule="atLeast"/>
        </w:trPr>
        <w:tc>
          <w:tcPr>
            <w:tcW w:w="885" w:type="dxa"/>
            <w:vMerge w:val="continue"/>
            <w:tcBorders>
              <w:top w:val="nil"/>
              <w:left w:val="single" w:color="000000" w:sz="8" w:space="0"/>
              <w:bottom w:val="single" w:color="000000" w:sz="4" w:space="0"/>
              <w:right w:val="single" w:color="000000" w:sz="4" w:space="0"/>
            </w:tcBorders>
            <w:shd w:val="clear" w:color="auto" w:fill="auto"/>
            <w:vAlign w:val="center"/>
          </w:tcPr>
          <w:p>
            <w:pPr>
              <w:jc w:val="center"/>
              <w:rPr>
                <w:rFonts w:ascii="宋体" w:hAnsi="宋体" w:cs="宋体"/>
                <w:color w:val="000000" w:themeColor="text1"/>
                <w:szCs w:val="21"/>
                <w14:textFill>
                  <w14:solidFill>
                    <w14:schemeClr w14:val="tx1"/>
                  </w14:solidFill>
                </w14:textFill>
              </w:rPr>
            </w:pPr>
          </w:p>
        </w:tc>
        <w:tc>
          <w:tcPr>
            <w:tcW w:w="1745"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系统软件</w:t>
            </w:r>
          </w:p>
        </w:tc>
        <w:tc>
          <w:tcPr>
            <w:tcW w:w="4119"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工作站软件，Delta，DOW-340LIGHTVIEW</w:t>
            </w:r>
          </w:p>
        </w:tc>
        <w:tc>
          <w:tcPr>
            <w:tcW w:w="88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套</w:t>
            </w:r>
          </w:p>
        </w:tc>
        <w:tc>
          <w:tcPr>
            <w:tcW w:w="88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1</w:t>
            </w:r>
          </w:p>
        </w:tc>
      </w:tr>
      <w:tr>
        <w:tblPrEx>
          <w:tblCellMar>
            <w:top w:w="0" w:type="dxa"/>
            <w:left w:w="108" w:type="dxa"/>
            <w:bottom w:w="0" w:type="dxa"/>
            <w:right w:w="108" w:type="dxa"/>
          </w:tblCellMar>
        </w:tblPrEx>
        <w:trPr>
          <w:trHeight w:val="450" w:hRule="atLeast"/>
        </w:trPr>
        <w:tc>
          <w:tcPr>
            <w:tcW w:w="885"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kern w:val="0"/>
                <w:szCs w:val="21"/>
                <w:lang w:bidi="ar"/>
              </w:rPr>
              <w:t>129</w:t>
            </w:r>
          </w:p>
        </w:tc>
        <w:tc>
          <w:tcPr>
            <w:tcW w:w="1745"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路由器</w:t>
            </w:r>
          </w:p>
        </w:tc>
        <w:tc>
          <w:tcPr>
            <w:tcW w:w="4119"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BACnet路由器，Delta，DLR-04</w:t>
            </w:r>
          </w:p>
        </w:tc>
        <w:tc>
          <w:tcPr>
            <w:tcW w:w="88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套</w:t>
            </w:r>
          </w:p>
        </w:tc>
        <w:tc>
          <w:tcPr>
            <w:tcW w:w="88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4</w:t>
            </w:r>
          </w:p>
        </w:tc>
      </w:tr>
      <w:tr>
        <w:tblPrEx>
          <w:tblCellMar>
            <w:top w:w="0" w:type="dxa"/>
            <w:left w:w="108" w:type="dxa"/>
            <w:bottom w:w="0" w:type="dxa"/>
            <w:right w:w="108" w:type="dxa"/>
          </w:tblCellMar>
        </w:tblPrEx>
        <w:trPr>
          <w:trHeight w:val="450" w:hRule="atLeast"/>
        </w:trPr>
        <w:tc>
          <w:tcPr>
            <w:tcW w:w="885"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ascii="宋体" w:hAnsi="宋体" w:cs="宋体"/>
                <w:color w:val="000000" w:themeColor="text1"/>
                <w:szCs w:val="21"/>
                <w14:textFill>
                  <w14:solidFill>
                    <w14:schemeClr w14:val="tx1"/>
                  </w14:solidFill>
                </w14:textFill>
              </w:rPr>
            </w:pPr>
          </w:p>
        </w:tc>
        <w:tc>
          <w:tcPr>
            <w:tcW w:w="1745" w:type="dxa"/>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控制器</w:t>
            </w:r>
          </w:p>
        </w:tc>
        <w:tc>
          <w:tcPr>
            <w:tcW w:w="4119"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b/>
                <w:bCs/>
                <w:color w:val="000000" w:themeColor="text1"/>
                <w:kern w:val="0"/>
                <w:sz w:val="24"/>
                <w14:textFill>
                  <w14:solidFill>
                    <w14:schemeClr w14:val="tx1"/>
                  </w14:solidFill>
                </w14:textFill>
              </w:rPr>
            </w:pPr>
            <w:r>
              <w:rPr>
                <w:rFonts w:hint="eastAsia" w:ascii="宋体" w:hAnsi="宋体" w:cs="宋体"/>
                <w:color w:val="000000"/>
                <w:kern w:val="0"/>
                <w:szCs w:val="21"/>
                <w:lang w:bidi="ar"/>
              </w:rPr>
              <w:t>智能触控面板，Delta，DLB-PAD</w:t>
            </w:r>
          </w:p>
        </w:tc>
        <w:tc>
          <w:tcPr>
            <w:tcW w:w="88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台</w:t>
            </w:r>
          </w:p>
        </w:tc>
        <w:tc>
          <w:tcPr>
            <w:tcW w:w="886" w:type="dxa"/>
            <w:tcBorders>
              <w:top w:val="single" w:color="000000" w:sz="4" w:space="0"/>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1</w:t>
            </w:r>
          </w:p>
        </w:tc>
      </w:tr>
      <w:tr>
        <w:tblPrEx>
          <w:tblCellMar>
            <w:top w:w="0" w:type="dxa"/>
            <w:left w:w="108" w:type="dxa"/>
            <w:bottom w:w="0" w:type="dxa"/>
            <w:right w:w="108" w:type="dxa"/>
          </w:tblCellMar>
        </w:tblPrEx>
        <w:trPr>
          <w:trHeight w:val="450" w:hRule="atLeast"/>
        </w:trPr>
        <w:tc>
          <w:tcPr>
            <w:tcW w:w="885"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kern w:val="0"/>
                <w:szCs w:val="21"/>
                <w:lang w:bidi="ar"/>
              </w:rPr>
              <w:t>130</w:t>
            </w:r>
          </w:p>
        </w:tc>
        <w:tc>
          <w:tcPr>
            <w:tcW w:w="1745"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小电器</w:t>
            </w:r>
          </w:p>
        </w:tc>
        <w:tc>
          <w:tcPr>
            <w:tcW w:w="4119"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总线电源，Delta，DLP-10</w:t>
            </w:r>
          </w:p>
        </w:tc>
        <w:tc>
          <w:tcPr>
            <w:tcW w:w="88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个</w:t>
            </w:r>
          </w:p>
        </w:tc>
        <w:tc>
          <w:tcPr>
            <w:tcW w:w="88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7</w:t>
            </w:r>
          </w:p>
        </w:tc>
      </w:tr>
      <w:tr>
        <w:tblPrEx>
          <w:tblCellMar>
            <w:top w:w="0" w:type="dxa"/>
            <w:left w:w="108" w:type="dxa"/>
            <w:bottom w:w="0" w:type="dxa"/>
            <w:right w:w="108" w:type="dxa"/>
          </w:tblCellMar>
        </w:tblPrEx>
        <w:trPr>
          <w:trHeight w:val="450" w:hRule="atLeast"/>
        </w:trPr>
        <w:tc>
          <w:tcPr>
            <w:tcW w:w="885" w:type="dxa"/>
            <w:vMerge w:val="continue"/>
            <w:tcBorders>
              <w:top w:val="nil"/>
              <w:left w:val="single" w:color="000000" w:sz="8" w:space="0"/>
              <w:bottom w:val="single" w:color="000000" w:sz="4" w:space="0"/>
              <w:right w:val="single" w:color="000000" w:sz="4" w:space="0"/>
            </w:tcBorders>
            <w:shd w:val="clear" w:color="auto" w:fill="auto"/>
            <w:vAlign w:val="center"/>
          </w:tcPr>
          <w:p>
            <w:pPr>
              <w:jc w:val="center"/>
              <w:rPr>
                <w:rFonts w:ascii="宋体" w:hAnsi="宋体" w:cs="宋体"/>
                <w:color w:val="000000" w:themeColor="text1"/>
                <w:szCs w:val="21"/>
                <w14:textFill>
                  <w14:solidFill>
                    <w14:schemeClr w14:val="tx1"/>
                  </w14:solidFill>
                </w14:textFill>
              </w:rPr>
            </w:pPr>
          </w:p>
        </w:tc>
        <w:tc>
          <w:tcPr>
            <w:tcW w:w="1745"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模块</w:t>
            </w:r>
          </w:p>
        </w:tc>
        <w:tc>
          <w:tcPr>
            <w:tcW w:w="4119"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3路智能开关模块，Delta，DLCS-0320</w:t>
            </w:r>
          </w:p>
        </w:tc>
        <w:tc>
          <w:tcPr>
            <w:tcW w:w="88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台</w:t>
            </w:r>
          </w:p>
        </w:tc>
        <w:tc>
          <w:tcPr>
            <w:tcW w:w="88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6</w:t>
            </w:r>
          </w:p>
        </w:tc>
      </w:tr>
      <w:tr>
        <w:tblPrEx>
          <w:tblCellMar>
            <w:top w:w="0" w:type="dxa"/>
            <w:left w:w="108" w:type="dxa"/>
            <w:bottom w:w="0" w:type="dxa"/>
            <w:right w:w="108" w:type="dxa"/>
          </w:tblCellMar>
        </w:tblPrEx>
        <w:trPr>
          <w:trHeight w:val="450" w:hRule="atLeast"/>
        </w:trPr>
        <w:tc>
          <w:tcPr>
            <w:tcW w:w="885"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kern w:val="0"/>
                <w:szCs w:val="21"/>
                <w:lang w:bidi="ar"/>
              </w:rPr>
              <w:t>131</w:t>
            </w:r>
          </w:p>
        </w:tc>
        <w:tc>
          <w:tcPr>
            <w:tcW w:w="1745"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模块</w:t>
            </w:r>
          </w:p>
        </w:tc>
        <w:tc>
          <w:tcPr>
            <w:tcW w:w="4119"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6路智能开关模块，Delta，DLCS-0610</w:t>
            </w:r>
          </w:p>
        </w:tc>
        <w:tc>
          <w:tcPr>
            <w:tcW w:w="88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台</w:t>
            </w:r>
          </w:p>
        </w:tc>
        <w:tc>
          <w:tcPr>
            <w:tcW w:w="88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35</w:t>
            </w:r>
          </w:p>
        </w:tc>
      </w:tr>
      <w:tr>
        <w:tblPrEx>
          <w:tblCellMar>
            <w:top w:w="0" w:type="dxa"/>
            <w:left w:w="108" w:type="dxa"/>
            <w:bottom w:w="0" w:type="dxa"/>
            <w:right w:w="108" w:type="dxa"/>
          </w:tblCellMar>
        </w:tblPrEx>
        <w:trPr>
          <w:trHeight w:val="450" w:hRule="atLeast"/>
        </w:trPr>
        <w:tc>
          <w:tcPr>
            <w:tcW w:w="885" w:type="dxa"/>
            <w:vMerge w:val="continue"/>
            <w:tcBorders>
              <w:top w:val="nil"/>
              <w:left w:val="single" w:color="000000" w:sz="8" w:space="0"/>
              <w:bottom w:val="single" w:color="000000" w:sz="4" w:space="0"/>
              <w:right w:val="single" w:color="000000" w:sz="4" w:space="0"/>
            </w:tcBorders>
            <w:shd w:val="clear" w:color="auto" w:fill="auto"/>
            <w:vAlign w:val="center"/>
          </w:tcPr>
          <w:p>
            <w:pPr>
              <w:jc w:val="center"/>
              <w:rPr>
                <w:rFonts w:ascii="宋体" w:hAnsi="宋体" w:cs="宋体"/>
                <w:color w:val="000000" w:themeColor="text1"/>
                <w:szCs w:val="21"/>
                <w14:textFill>
                  <w14:solidFill>
                    <w14:schemeClr w14:val="tx1"/>
                  </w14:solidFill>
                </w14:textFill>
              </w:rPr>
            </w:pPr>
          </w:p>
        </w:tc>
        <w:tc>
          <w:tcPr>
            <w:tcW w:w="1745"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模块</w:t>
            </w:r>
          </w:p>
        </w:tc>
        <w:tc>
          <w:tcPr>
            <w:tcW w:w="4119"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12路智能开关模块，Delta，DLCS-1210</w:t>
            </w:r>
          </w:p>
        </w:tc>
        <w:tc>
          <w:tcPr>
            <w:tcW w:w="88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台</w:t>
            </w:r>
          </w:p>
        </w:tc>
        <w:tc>
          <w:tcPr>
            <w:tcW w:w="88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40</w:t>
            </w:r>
          </w:p>
        </w:tc>
      </w:tr>
      <w:tr>
        <w:tblPrEx>
          <w:tblCellMar>
            <w:top w:w="0" w:type="dxa"/>
            <w:left w:w="108" w:type="dxa"/>
            <w:bottom w:w="0" w:type="dxa"/>
            <w:right w:w="108" w:type="dxa"/>
          </w:tblCellMar>
        </w:tblPrEx>
        <w:trPr>
          <w:trHeight w:val="450" w:hRule="atLeast"/>
        </w:trPr>
        <w:tc>
          <w:tcPr>
            <w:tcW w:w="885"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kern w:val="0"/>
                <w:szCs w:val="21"/>
                <w:lang w:bidi="ar"/>
              </w:rPr>
              <w:t>132</w:t>
            </w:r>
          </w:p>
        </w:tc>
        <w:tc>
          <w:tcPr>
            <w:tcW w:w="1745"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信息插座</w:t>
            </w:r>
          </w:p>
        </w:tc>
        <w:tc>
          <w:tcPr>
            <w:tcW w:w="4119"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6键智能场景面板，Delta，DLB-06</w:t>
            </w:r>
          </w:p>
        </w:tc>
        <w:tc>
          <w:tcPr>
            <w:tcW w:w="88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个</w:t>
            </w:r>
          </w:p>
        </w:tc>
        <w:tc>
          <w:tcPr>
            <w:tcW w:w="88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62</w:t>
            </w:r>
          </w:p>
        </w:tc>
      </w:tr>
      <w:tr>
        <w:tblPrEx>
          <w:tblCellMar>
            <w:top w:w="0" w:type="dxa"/>
            <w:left w:w="108" w:type="dxa"/>
            <w:bottom w:w="0" w:type="dxa"/>
            <w:right w:w="108" w:type="dxa"/>
          </w:tblCellMar>
        </w:tblPrEx>
        <w:trPr>
          <w:trHeight w:val="450" w:hRule="atLeast"/>
        </w:trPr>
        <w:tc>
          <w:tcPr>
            <w:tcW w:w="885" w:type="dxa"/>
            <w:vMerge w:val="continue"/>
            <w:tcBorders>
              <w:top w:val="nil"/>
              <w:left w:val="single" w:color="000000" w:sz="8" w:space="0"/>
              <w:bottom w:val="single" w:color="000000" w:sz="4" w:space="0"/>
              <w:right w:val="single" w:color="000000" w:sz="4" w:space="0"/>
            </w:tcBorders>
            <w:shd w:val="clear" w:color="auto" w:fill="auto"/>
            <w:vAlign w:val="center"/>
          </w:tcPr>
          <w:p>
            <w:pPr>
              <w:jc w:val="center"/>
              <w:rPr>
                <w:rFonts w:ascii="宋体" w:hAnsi="宋体" w:cs="宋体"/>
                <w:color w:val="000000" w:themeColor="text1"/>
                <w:szCs w:val="21"/>
                <w14:textFill>
                  <w14:solidFill>
                    <w14:schemeClr w14:val="tx1"/>
                  </w14:solidFill>
                </w14:textFill>
              </w:rPr>
            </w:pPr>
          </w:p>
        </w:tc>
        <w:tc>
          <w:tcPr>
            <w:tcW w:w="1745"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传感器</w:t>
            </w:r>
          </w:p>
        </w:tc>
        <w:tc>
          <w:tcPr>
            <w:tcW w:w="4119"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红外感应传感器，Delta，DLH10</w:t>
            </w:r>
          </w:p>
        </w:tc>
        <w:tc>
          <w:tcPr>
            <w:tcW w:w="88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个</w:t>
            </w:r>
          </w:p>
        </w:tc>
        <w:tc>
          <w:tcPr>
            <w:tcW w:w="88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42</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2"/>
                <w:szCs w:val="22"/>
                <w14:textFill>
                  <w14:solidFill>
                    <w14:schemeClr w14:val="tx1"/>
                  </w14:solidFill>
                </w14:textFill>
              </w:rPr>
            </w:pPr>
            <w:r>
              <w:rPr>
                <w:color w:val="000000"/>
                <w:kern w:val="0"/>
                <w:szCs w:val="21"/>
                <w:lang w:bidi="ar"/>
              </w:rPr>
              <w:t>13</w:t>
            </w:r>
            <w:r>
              <w:rPr>
                <w:rFonts w:hint="eastAsia"/>
                <w:color w:val="000000"/>
                <w:kern w:val="0"/>
                <w:szCs w:val="21"/>
                <w:lang w:bidi="ar"/>
              </w:rPr>
              <w:t>3</w:t>
            </w:r>
          </w:p>
        </w:tc>
        <w:tc>
          <w:tcPr>
            <w:tcW w:w="1745"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6路干接点输入模块</w:t>
            </w:r>
          </w:p>
        </w:tc>
        <w:tc>
          <w:tcPr>
            <w:tcW w:w="4119"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6路干接点输入模块，Delta，DLP-06</w:t>
            </w:r>
          </w:p>
        </w:tc>
        <w:tc>
          <w:tcPr>
            <w:tcW w:w="88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个</w:t>
            </w:r>
          </w:p>
        </w:tc>
        <w:tc>
          <w:tcPr>
            <w:tcW w:w="88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17</w:t>
            </w:r>
          </w:p>
        </w:tc>
      </w:tr>
      <w:tr>
        <w:tblPrEx>
          <w:tblCellMar>
            <w:top w:w="0" w:type="dxa"/>
            <w:left w:w="108" w:type="dxa"/>
            <w:bottom w:w="0" w:type="dxa"/>
            <w:right w:w="108" w:type="dxa"/>
          </w:tblCellMar>
        </w:tblPrEx>
        <w:trPr>
          <w:trHeight w:val="450" w:hRule="atLeast"/>
        </w:trPr>
        <w:tc>
          <w:tcPr>
            <w:tcW w:w="8520" w:type="dxa"/>
            <w:gridSpan w:val="5"/>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 w:val="32"/>
                <w:szCs w:val="32"/>
                <w:lang w:bidi="ar"/>
              </w:rPr>
              <w:t xml:space="preserve"> ICU</w:t>
            </w:r>
            <w:r>
              <w:rPr>
                <w:rStyle w:val="52"/>
                <w:rFonts w:hint="default"/>
                <w:lang w:bidi="ar"/>
              </w:rPr>
              <w:t>病房探视系统</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color w:val="000000"/>
                <w:kern w:val="0"/>
                <w:szCs w:val="21"/>
                <w:lang w:bidi="ar"/>
              </w:rPr>
              <w:t>13</w:t>
            </w:r>
            <w:r>
              <w:rPr>
                <w:rFonts w:hint="eastAsia"/>
                <w:color w:val="000000"/>
                <w:kern w:val="0"/>
                <w:szCs w:val="21"/>
                <w:lang w:bidi="ar"/>
              </w:rPr>
              <w:t>4</w:t>
            </w:r>
          </w:p>
        </w:tc>
        <w:tc>
          <w:tcPr>
            <w:tcW w:w="1745"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工作站、工作台</w:t>
            </w:r>
          </w:p>
        </w:tc>
        <w:tc>
          <w:tcPr>
            <w:tcW w:w="4119"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护士站主机，来邦，GX-J10A</w:t>
            </w:r>
          </w:p>
        </w:tc>
        <w:tc>
          <w:tcPr>
            <w:tcW w:w="88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台</w:t>
            </w:r>
          </w:p>
        </w:tc>
        <w:tc>
          <w:tcPr>
            <w:tcW w:w="88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1</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color w:val="000000"/>
                <w:kern w:val="0"/>
                <w:szCs w:val="21"/>
                <w:lang w:bidi="ar"/>
              </w:rPr>
              <w:t>13</w:t>
            </w:r>
            <w:r>
              <w:rPr>
                <w:rFonts w:hint="eastAsia"/>
                <w:color w:val="000000"/>
                <w:kern w:val="0"/>
                <w:szCs w:val="21"/>
                <w:lang w:bidi="ar"/>
              </w:rPr>
              <w:t>5</w:t>
            </w:r>
          </w:p>
        </w:tc>
        <w:tc>
          <w:tcPr>
            <w:tcW w:w="1745"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工作站、工作台</w:t>
            </w:r>
          </w:p>
        </w:tc>
        <w:tc>
          <w:tcPr>
            <w:tcW w:w="4119"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探访分机，来邦，GX-H10A</w:t>
            </w:r>
          </w:p>
        </w:tc>
        <w:tc>
          <w:tcPr>
            <w:tcW w:w="88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台</w:t>
            </w:r>
          </w:p>
        </w:tc>
        <w:tc>
          <w:tcPr>
            <w:tcW w:w="88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1</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color w:val="000000"/>
                <w:kern w:val="0"/>
                <w:szCs w:val="21"/>
                <w:lang w:bidi="ar"/>
              </w:rPr>
              <w:t>13</w:t>
            </w:r>
            <w:r>
              <w:rPr>
                <w:rFonts w:hint="eastAsia"/>
                <w:color w:val="000000"/>
                <w:kern w:val="0"/>
                <w:szCs w:val="21"/>
                <w:lang w:bidi="ar"/>
              </w:rPr>
              <w:t>6</w:t>
            </w:r>
          </w:p>
        </w:tc>
        <w:tc>
          <w:tcPr>
            <w:tcW w:w="1745"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工作站、工作台</w:t>
            </w:r>
          </w:p>
        </w:tc>
        <w:tc>
          <w:tcPr>
            <w:tcW w:w="4119"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病床分机，来邦，GX-H10B</w:t>
            </w:r>
          </w:p>
        </w:tc>
        <w:tc>
          <w:tcPr>
            <w:tcW w:w="88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台</w:t>
            </w:r>
          </w:p>
        </w:tc>
        <w:tc>
          <w:tcPr>
            <w:tcW w:w="88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2</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color w:val="000000"/>
                <w:kern w:val="0"/>
                <w:szCs w:val="21"/>
                <w:lang w:bidi="ar"/>
              </w:rPr>
              <w:t>13</w:t>
            </w:r>
            <w:r>
              <w:rPr>
                <w:rFonts w:hint="eastAsia"/>
                <w:color w:val="000000"/>
                <w:kern w:val="0"/>
                <w:szCs w:val="21"/>
                <w:lang w:bidi="ar"/>
              </w:rPr>
              <w:t>7</w:t>
            </w:r>
          </w:p>
        </w:tc>
        <w:tc>
          <w:tcPr>
            <w:tcW w:w="1745"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小电器</w:t>
            </w:r>
          </w:p>
        </w:tc>
        <w:tc>
          <w:tcPr>
            <w:tcW w:w="4119"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POE电源分离器，来邦，GX-POE</w:t>
            </w:r>
          </w:p>
        </w:tc>
        <w:tc>
          <w:tcPr>
            <w:tcW w:w="88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个</w:t>
            </w:r>
          </w:p>
        </w:tc>
        <w:tc>
          <w:tcPr>
            <w:tcW w:w="88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4</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color w:val="000000"/>
                <w:kern w:val="0"/>
                <w:szCs w:val="21"/>
                <w:lang w:bidi="ar"/>
              </w:rPr>
              <w:t>13</w:t>
            </w:r>
            <w:r>
              <w:rPr>
                <w:rFonts w:hint="eastAsia"/>
                <w:color w:val="000000"/>
                <w:kern w:val="0"/>
                <w:szCs w:val="21"/>
                <w:lang w:bidi="ar"/>
              </w:rPr>
              <w:t>8</w:t>
            </w:r>
          </w:p>
        </w:tc>
        <w:tc>
          <w:tcPr>
            <w:tcW w:w="1745"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交换机</w:t>
            </w:r>
          </w:p>
        </w:tc>
        <w:tc>
          <w:tcPr>
            <w:tcW w:w="4119"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48口交换机，华三，LS-S5110-52P</w:t>
            </w:r>
          </w:p>
        </w:tc>
        <w:tc>
          <w:tcPr>
            <w:tcW w:w="885" w:type="dxa"/>
            <w:tcBorders>
              <w:top w:val="nil"/>
              <w:left w:val="nil"/>
              <w:bottom w:val="single" w:color="auto"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台</w:t>
            </w:r>
          </w:p>
        </w:tc>
        <w:tc>
          <w:tcPr>
            <w:tcW w:w="886" w:type="dxa"/>
            <w:tcBorders>
              <w:top w:val="nil"/>
              <w:left w:val="nil"/>
              <w:bottom w:val="single" w:color="auto" w:sz="4" w:space="0"/>
              <w:right w:val="single" w:color="000000"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1</w:t>
            </w:r>
          </w:p>
        </w:tc>
      </w:tr>
      <w:tr>
        <w:tblPrEx>
          <w:tblCellMar>
            <w:top w:w="0" w:type="dxa"/>
            <w:left w:w="108" w:type="dxa"/>
            <w:bottom w:w="0" w:type="dxa"/>
            <w:right w:w="108" w:type="dxa"/>
          </w:tblCellMar>
        </w:tblPrEx>
        <w:trPr>
          <w:trHeight w:val="450" w:hRule="atLeast"/>
        </w:trPr>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color w:val="000000" w:themeColor="text1"/>
                <w:szCs w:val="21"/>
                <w14:textFill>
                  <w14:solidFill>
                    <w14:schemeClr w14:val="tx1"/>
                  </w14:solidFill>
                </w14:textFill>
              </w:rPr>
            </w:pPr>
            <w:r>
              <w:rPr>
                <w:color w:val="000000"/>
                <w:kern w:val="0"/>
                <w:szCs w:val="21"/>
                <w:lang w:bidi="ar"/>
              </w:rPr>
              <w:t>13</w:t>
            </w:r>
            <w:r>
              <w:rPr>
                <w:rFonts w:hint="eastAsia"/>
                <w:color w:val="000000"/>
                <w:kern w:val="0"/>
                <w:szCs w:val="21"/>
                <w:lang w:bidi="ar"/>
              </w:rPr>
              <w:t>9</w:t>
            </w:r>
          </w:p>
        </w:tc>
        <w:tc>
          <w:tcPr>
            <w:tcW w:w="17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铁构件</w:t>
            </w:r>
          </w:p>
        </w:tc>
        <w:tc>
          <w:tcPr>
            <w:tcW w:w="41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ICU伸展式安装支架，来邦，GX-C-B2</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套</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2</w:t>
            </w:r>
          </w:p>
        </w:tc>
      </w:tr>
      <w:tr>
        <w:tblPrEx>
          <w:tblCellMar>
            <w:top w:w="0" w:type="dxa"/>
            <w:left w:w="108" w:type="dxa"/>
            <w:bottom w:w="0" w:type="dxa"/>
            <w:right w:w="108" w:type="dxa"/>
          </w:tblCellMar>
        </w:tblPrEx>
        <w:trPr>
          <w:trHeight w:val="450" w:hRule="atLeast"/>
        </w:trPr>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color w:val="000000" w:themeColor="text1"/>
                <w:szCs w:val="21"/>
                <w14:textFill>
                  <w14:solidFill>
                    <w14:schemeClr w14:val="tx1"/>
                  </w14:solidFill>
                </w14:textFill>
              </w:rPr>
            </w:pPr>
            <w:r>
              <w:rPr>
                <w:color w:val="000000"/>
                <w:kern w:val="0"/>
                <w:szCs w:val="21"/>
                <w:lang w:bidi="ar"/>
              </w:rPr>
              <w:t>1</w:t>
            </w:r>
            <w:r>
              <w:rPr>
                <w:rFonts w:hint="eastAsia"/>
                <w:color w:val="000000"/>
                <w:kern w:val="0"/>
                <w:szCs w:val="21"/>
                <w:lang w:bidi="ar"/>
              </w:rPr>
              <w:t>40</w:t>
            </w:r>
          </w:p>
        </w:tc>
        <w:tc>
          <w:tcPr>
            <w:tcW w:w="17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工作站、工作台</w:t>
            </w:r>
          </w:p>
        </w:tc>
        <w:tc>
          <w:tcPr>
            <w:tcW w:w="41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护士站主机，来邦，GX-J10A</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台</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1</w:t>
            </w:r>
          </w:p>
        </w:tc>
      </w:tr>
      <w:tr>
        <w:tblPrEx>
          <w:tblCellMar>
            <w:top w:w="0" w:type="dxa"/>
            <w:left w:w="108" w:type="dxa"/>
            <w:bottom w:w="0" w:type="dxa"/>
            <w:right w:w="108" w:type="dxa"/>
          </w:tblCellMar>
        </w:tblPrEx>
        <w:trPr>
          <w:trHeight w:val="450" w:hRule="atLeast"/>
        </w:trPr>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color w:val="000000" w:themeColor="text1"/>
                <w:szCs w:val="21"/>
                <w14:textFill>
                  <w14:solidFill>
                    <w14:schemeClr w14:val="tx1"/>
                  </w14:solidFill>
                </w14:textFill>
              </w:rPr>
            </w:pPr>
            <w:r>
              <w:rPr>
                <w:color w:val="000000"/>
                <w:kern w:val="0"/>
                <w:szCs w:val="21"/>
                <w:lang w:bidi="ar"/>
              </w:rPr>
              <w:t>1</w:t>
            </w:r>
            <w:r>
              <w:rPr>
                <w:rFonts w:hint="eastAsia"/>
                <w:color w:val="000000"/>
                <w:kern w:val="0"/>
                <w:szCs w:val="21"/>
                <w:lang w:bidi="ar"/>
              </w:rPr>
              <w:t>41</w:t>
            </w:r>
          </w:p>
        </w:tc>
        <w:tc>
          <w:tcPr>
            <w:tcW w:w="17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工作站、工作台</w:t>
            </w:r>
          </w:p>
        </w:tc>
        <w:tc>
          <w:tcPr>
            <w:tcW w:w="41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探访分机，来邦，GX-H10A</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台</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1</w:t>
            </w:r>
          </w:p>
        </w:tc>
      </w:tr>
      <w:tr>
        <w:tblPrEx>
          <w:tblCellMar>
            <w:top w:w="0" w:type="dxa"/>
            <w:left w:w="108" w:type="dxa"/>
            <w:bottom w:w="0" w:type="dxa"/>
            <w:right w:w="108" w:type="dxa"/>
          </w:tblCellMar>
        </w:tblPrEx>
        <w:trPr>
          <w:trHeight w:val="450" w:hRule="atLeast"/>
        </w:trPr>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color w:val="000000" w:themeColor="text1"/>
                <w:szCs w:val="21"/>
                <w14:textFill>
                  <w14:solidFill>
                    <w14:schemeClr w14:val="tx1"/>
                  </w14:solidFill>
                </w14:textFill>
              </w:rPr>
            </w:pPr>
            <w:r>
              <w:rPr>
                <w:color w:val="000000"/>
                <w:kern w:val="0"/>
                <w:szCs w:val="21"/>
                <w:lang w:bidi="ar"/>
              </w:rPr>
              <w:t>14</w:t>
            </w:r>
            <w:r>
              <w:rPr>
                <w:rFonts w:hint="eastAsia"/>
                <w:color w:val="000000"/>
                <w:kern w:val="0"/>
                <w:szCs w:val="21"/>
                <w:lang w:bidi="ar"/>
              </w:rPr>
              <w:t>2</w:t>
            </w:r>
          </w:p>
        </w:tc>
        <w:tc>
          <w:tcPr>
            <w:tcW w:w="17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计算机终端</w:t>
            </w:r>
          </w:p>
        </w:tc>
        <w:tc>
          <w:tcPr>
            <w:tcW w:w="41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移动终端，来邦，GX-H10B</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台</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2</w:t>
            </w:r>
          </w:p>
        </w:tc>
      </w:tr>
      <w:tr>
        <w:tblPrEx>
          <w:tblCellMar>
            <w:top w:w="0" w:type="dxa"/>
            <w:left w:w="108" w:type="dxa"/>
            <w:bottom w:w="0" w:type="dxa"/>
            <w:right w:w="108" w:type="dxa"/>
          </w:tblCellMar>
        </w:tblPrEx>
        <w:trPr>
          <w:trHeight w:val="450" w:hRule="atLeast"/>
        </w:trPr>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color w:val="000000" w:themeColor="text1"/>
                <w:szCs w:val="21"/>
                <w14:textFill>
                  <w14:solidFill>
                    <w14:schemeClr w14:val="tx1"/>
                  </w14:solidFill>
                </w14:textFill>
              </w:rPr>
            </w:pPr>
            <w:r>
              <w:rPr>
                <w:color w:val="000000"/>
                <w:kern w:val="0"/>
                <w:szCs w:val="21"/>
                <w:lang w:bidi="ar"/>
              </w:rPr>
              <w:t>14</w:t>
            </w:r>
            <w:r>
              <w:rPr>
                <w:rFonts w:hint="eastAsia"/>
                <w:color w:val="000000"/>
                <w:kern w:val="0"/>
                <w:szCs w:val="21"/>
                <w:lang w:bidi="ar"/>
              </w:rPr>
              <w:t>3</w:t>
            </w:r>
          </w:p>
        </w:tc>
        <w:tc>
          <w:tcPr>
            <w:tcW w:w="17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小电器</w:t>
            </w:r>
          </w:p>
        </w:tc>
        <w:tc>
          <w:tcPr>
            <w:tcW w:w="41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POE电源分离器，来邦，GX-POE</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个</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4</w:t>
            </w:r>
          </w:p>
        </w:tc>
      </w:tr>
      <w:tr>
        <w:tblPrEx>
          <w:tblCellMar>
            <w:top w:w="0" w:type="dxa"/>
            <w:left w:w="108" w:type="dxa"/>
            <w:bottom w:w="0" w:type="dxa"/>
            <w:right w:w="108" w:type="dxa"/>
          </w:tblCellMar>
        </w:tblPrEx>
        <w:trPr>
          <w:trHeight w:val="450" w:hRule="atLeast"/>
        </w:trPr>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color w:val="000000" w:themeColor="text1"/>
                <w:szCs w:val="21"/>
                <w14:textFill>
                  <w14:solidFill>
                    <w14:schemeClr w14:val="tx1"/>
                  </w14:solidFill>
                </w14:textFill>
              </w:rPr>
            </w:pPr>
            <w:r>
              <w:rPr>
                <w:color w:val="000000"/>
                <w:kern w:val="0"/>
                <w:szCs w:val="21"/>
                <w:lang w:bidi="ar"/>
              </w:rPr>
              <w:t>14</w:t>
            </w:r>
            <w:r>
              <w:rPr>
                <w:rFonts w:hint="eastAsia"/>
                <w:color w:val="000000"/>
                <w:kern w:val="0"/>
                <w:szCs w:val="21"/>
                <w:lang w:bidi="ar"/>
              </w:rPr>
              <w:t>4</w:t>
            </w:r>
          </w:p>
        </w:tc>
        <w:tc>
          <w:tcPr>
            <w:tcW w:w="17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交换机</w:t>
            </w:r>
          </w:p>
        </w:tc>
        <w:tc>
          <w:tcPr>
            <w:tcW w:w="41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24口交换机，华三，LS-S5110-28P</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台</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1</w:t>
            </w:r>
          </w:p>
        </w:tc>
      </w:tr>
      <w:tr>
        <w:tblPrEx>
          <w:tblCellMar>
            <w:top w:w="0" w:type="dxa"/>
            <w:left w:w="108" w:type="dxa"/>
            <w:bottom w:w="0" w:type="dxa"/>
            <w:right w:w="108" w:type="dxa"/>
          </w:tblCellMar>
        </w:tblPrEx>
        <w:trPr>
          <w:trHeight w:val="450" w:hRule="atLeast"/>
        </w:trPr>
        <w:tc>
          <w:tcPr>
            <w:tcW w:w="88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Cs w:val="21"/>
                <w14:textFill>
                  <w14:solidFill>
                    <w14:schemeClr w14:val="tx1"/>
                  </w14:solidFill>
                </w14:textFill>
              </w:rPr>
            </w:pPr>
            <w:r>
              <w:rPr>
                <w:color w:val="000000"/>
                <w:kern w:val="0"/>
                <w:szCs w:val="21"/>
                <w:lang w:bidi="ar"/>
              </w:rPr>
              <w:t>14</w:t>
            </w:r>
            <w:r>
              <w:rPr>
                <w:rFonts w:hint="eastAsia"/>
                <w:color w:val="000000"/>
                <w:kern w:val="0"/>
                <w:szCs w:val="21"/>
                <w:lang w:bidi="ar"/>
              </w:rPr>
              <w:t>5</w:t>
            </w:r>
          </w:p>
        </w:tc>
        <w:tc>
          <w:tcPr>
            <w:tcW w:w="174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铁构件</w:t>
            </w:r>
          </w:p>
        </w:tc>
        <w:tc>
          <w:tcPr>
            <w:tcW w:w="411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ICU伸展式安装支架，来邦，GX-C-B2</w:t>
            </w:r>
          </w:p>
        </w:tc>
        <w:tc>
          <w:tcPr>
            <w:tcW w:w="88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套</w:t>
            </w:r>
          </w:p>
        </w:tc>
        <w:tc>
          <w:tcPr>
            <w:tcW w:w="886"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2</w:t>
            </w:r>
          </w:p>
        </w:tc>
      </w:tr>
      <w:tr>
        <w:tblPrEx>
          <w:tblCellMar>
            <w:top w:w="0" w:type="dxa"/>
            <w:left w:w="108" w:type="dxa"/>
            <w:bottom w:w="0" w:type="dxa"/>
            <w:right w:w="108" w:type="dxa"/>
          </w:tblCellMar>
        </w:tblPrEx>
        <w:trPr>
          <w:trHeight w:val="450" w:hRule="atLeast"/>
        </w:trPr>
        <w:tc>
          <w:tcPr>
            <w:tcW w:w="88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themeColor="text1"/>
                <w:szCs w:val="21"/>
                <w14:textFill>
                  <w14:solidFill>
                    <w14:schemeClr w14:val="tx1"/>
                  </w14:solidFill>
                </w14:textFill>
              </w:rPr>
            </w:pPr>
            <w:r>
              <w:rPr>
                <w:color w:val="000000"/>
                <w:kern w:val="0"/>
                <w:szCs w:val="21"/>
                <w:lang w:bidi="ar"/>
              </w:rPr>
              <w:t>14</w:t>
            </w:r>
            <w:r>
              <w:rPr>
                <w:rFonts w:hint="eastAsia"/>
                <w:color w:val="000000"/>
                <w:kern w:val="0"/>
                <w:szCs w:val="21"/>
                <w:lang w:bidi="ar"/>
              </w:rPr>
              <w:t>6</w:t>
            </w:r>
          </w:p>
        </w:tc>
        <w:tc>
          <w:tcPr>
            <w:tcW w:w="174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服务器</w:t>
            </w:r>
          </w:p>
        </w:tc>
        <w:tc>
          <w:tcPr>
            <w:tcW w:w="411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服务器，来邦，GX-DE</w:t>
            </w:r>
          </w:p>
        </w:tc>
        <w:tc>
          <w:tcPr>
            <w:tcW w:w="88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台</w:t>
            </w:r>
          </w:p>
        </w:tc>
        <w:tc>
          <w:tcPr>
            <w:tcW w:w="886"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1</w:t>
            </w:r>
          </w:p>
        </w:tc>
      </w:tr>
      <w:tr>
        <w:tblPrEx>
          <w:tblCellMar>
            <w:top w:w="0" w:type="dxa"/>
            <w:left w:w="108" w:type="dxa"/>
            <w:bottom w:w="0" w:type="dxa"/>
            <w:right w:w="108" w:type="dxa"/>
          </w:tblCellMar>
        </w:tblPrEx>
        <w:trPr>
          <w:trHeight w:val="450" w:hRule="atLeast"/>
        </w:trPr>
        <w:tc>
          <w:tcPr>
            <w:tcW w:w="8520" w:type="dxa"/>
            <w:gridSpan w:val="5"/>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 w:val="32"/>
                <w:szCs w:val="32"/>
                <w:lang w:bidi="ar"/>
              </w:rPr>
              <w:t>门禁一卡通系统</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color w:val="000000"/>
                <w:kern w:val="0"/>
                <w:szCs w:val="21"/>
                <w:lang w:bidi="ar"/>
              </w:rPr>
              <w:t>14</w:t>
            </w:r>
            <w:r>
              <w:rPr>
                <w:rFonts w:hint="eastAsia"/>
                <w:color w:val="000000"/>
                <w:kern w:val="0"/>
                <w:szCs w:val="21"/>
                <w:lang w:bidi="ar"/>
              </w:rPr>
              <w:t>7</w:t>
            </w:r>
          </w:p>
        </w:tc>
        <w:tc>
          <w:tcPr>
            <w:tcW w:w="1745"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系统软件</w:t>
            </w:r>
          </w:p>
        </w:tc>
        <w:tc>
          <w:tcPr>
            <w:tcW w:w="4119"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披克门禁系统PK-ACV10.0</w:t>
            </w:r>
          </w:p>
        </w:tc>
        <w:tc>
          <w:tcPr>
            <w:tcW w:w="88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套</w:t>
            </w:r>
          </w:p>
        </w:tc>
        <w:tc>
          <w:tcPr>
            <w:tcW w:w="88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1</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color w:val="000000"/>
                <w:kern w:val="0"/>
                <w:szCs w:val="21"/>
                <w:lang w:bidi="ar"/>
              </w:rPr>
              <w:t>14</w:t>
            </w:r>
            <w:r>
              <w:rPr>
                <w:rFonts w:hint="eastAsia"/>
                <w:color w:val="000000"/>
                <w:kern w:val="0"/>
                <w:szCs w:val="21"/>
                <w:lang w:bidi="ar"/>
              </w:rPr>
              <w:t>8</w:t>
            </w:r>
          </w:p>
        </w:tc>
        <w:tc>
          <w:tcPr>
            <w:tcW w:w="1745"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控制设备</w:t>
            </w:r>
          </w:p>
        </w:tc>
        <w:tc>
          <w:tcPr>
            <w:tcW w:w="4119"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披克控制器PK-C388D-E</w:t>
            </w:r>
          </w:p>
        </w:tc>
        <w:tc>
          <w:tcPr>
            <w:tcW w:w="88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台</w:t>
            </w:r>
          </w:p>
        </w:tc>
        <w:tc>
          <w:tcPr>
            <w:tcW w:w="88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236</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color w:val="000000"/>
                <w:kern w:val="0"/>
                <w:szCs w:val="21"/>
                <w:lang w:bidi="ar"/>
              </w:rPr>
              <w:t>14</w:t>
            </w:r>
            <w:r>
              <w:rPr>
                <w:rFonts w:hint="eastAsia"/>
                <w:color w:val="000000"/>
                <w:kern w:val="0"/>
                <w:szCs w:val="21"/>
                <w:lang w:bidi="ar"/>
              </w:rPr>
              <w:t>9</w:t>
            </w:r>
          </w:p>
        </w:tc>
        <w:tc>
          <w:tcPr>
            <w:tcW w:w="1745"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控制设备</w:t>
            </w:r>
          </w:p>
        </w:tc>
        <w:tc>
          <w:tcPr>
            <w:tcW w:w="4119"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披克读卡机PK-R357/W34</w:t>
            </w:r>
          </w:p>
        </w:tc>
        <w:tc>
          <w:tcPr>
            <w:tcW w:w="88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套</w:t>
            </w:r>
          </w:p>
        </w:tc>
        <w:tc>
          <w:tcPr>
            <w:tcW w:w="88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236</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color w:val="000000"/>
                <w:kern w:val="0"/>
                <w:szCs w:val="21"/>
                <w:lang w:bidi="ar"/>
              </w:rPr>
              <w:t>1</w:t>
            </w:r>
            <w:r>
              <w:rPr>
                <w:rFonts w:hint="eastAsia"/>
                <w:color w:val="000000"/>
                <w:kern w:val="0"/>
                <w:szCs w:val="21"/>
                <w:lang w:bidi="ar"/>
              </w:rPr>
              <w:t>50</w:t>
            </w:r>
          </w:p>
        </w:tc>
        <w:tc>
          <w:tcPr>
            <w:tcW w:w="1745"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门禁磁力锁/电控锁</w:t>
            </w:r>
          </w:p>
        </w:tc>
        <w:tc>
          <w:tcPr>
            <w:tcW w:w="4119"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Style w:val="53"/>
                <w:rFonts w:hint="default"/>
                <w:lang w:bidi="ar"/>
              </w:rPr>
              <w:t>披克PKL320LS-27</w:t>
            </w:r>
          </w:p>
        </w:tc>
        <w:tc>
          <w:tcPr>
            <w:tcW w:w="88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套</w:t>
            </w:r>
          </w:p>
        </w:tc>
        <w:tc>
          <w:tcPr>
            <w:tcW w:w="886"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236</w:t>
            </w:r>
          </w:p>
        </w:tc>
      </w:tr>
      <w:tr>
        <w:tblPrEx>
          <w:tblCellMar>
            <w:top w:w="0" w:type="dxa"/>
            <w:left w:w="108" w:type="dxa"/>
            <w:bottom w:w="0" w:type="dxa"/>
            <w:right w:w="108" w:type="dxa"/>
          </w:tblCellMar>
        </w:tblPrEx>
        <w:trPr>
          <w:trHeight w:val="450" w:hRule="atLeast"/>
        </w:trPr>
        <w:tc>
          <w:tcPr>
            <w:tcW w:w="885" w:type="dxa"/>
            <w:tcBorders>
              <w:top w:val="nil"/>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color w:val="000000"/>
                <w:kern w:val="0"/>
                <w:szCs w:val="21"/>
                <w:lang w:bidi="ar"/>
              </w:rPr>
              <w:t>151</w:t>
            </w:r>
          </w:p>
        </w:tc>
        <w:tc>
          <w:tcPr>
            <w:tcW w:w="1745"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输入设备</w:t>
            </w:r>
          </w:p>
        </w:tc>
        <w:tc>
          <w:tcPr>
            <w:tcW w:w="4119"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出门开关PK-036</w:t>
            </w:r>
          </w:p>
        </w:tc>
        <w:tc>
          <w:tcPr>
            <w:tcW w:w="885" w:type="dxa"/>
            <w:tcBorders>
              <w:top w:val="nil"/>
              <w:left w:val="nil"/>
              <w:bottom w:val="single" w:color="auto" w:sz="4" w:space="0"/>
              <w:right w:val="single" w:color="000000"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套</w:t>
            </w:r>
          </w:p>
        </w:tc>
        <w:tc>
          <w:tcPr>
            <w:tcW w:w="886" w:type="dxa"/>
            <w:tcBorders>
              <w:top w:val="nil"/>
              <w:left w:val="nil"/>
              <w:bottom w:val="single" w:color="auto" w:sz="4" w:space="0"/>
              <w:right w:val="single" w:color="000000"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236</w:t>
            </w:r>
          </w:p>
        </w:tc>
      </w:tr>
      <w:tr>
        <w:tblPrEx>
          <w:tblCellMar>
            <w:top w:w="0" w:type="dxa"/>
            <w:left w:w="108" w:type="dxa"/>
            <w:bottom w:w="0" w:type="dxa"/>
            <w:right w:w="108" w:type="dxa"/>
          </w:tblCellMar>
        </w:tblPrEx>
        <w:trPr>
          <w:trHeight w:val="450" w:hRule="atLeast"/>
        </w:trPr>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color w:val="000000" w:themeColor="text1"/>
                <w:szCs w:val="21"/>
                <w14:textFill>
                  <w14:solidFill>
                    <w14:schemeClr w14:val="tx1"/>
                  </w14:solidFill>
                </w14:textFill>
              </w:rPr>
            </w:pPr>
            <w:r>
              <w:rPr>
                <w:color w:val="000000"/>
                <w:kern w:val="0"/>
                <w:szCs w:val="21"/>
                <w:lang w:bidi="ar"/>
              </w:rPr>
              <w:t>15</w:t>
            </w:r>
            <w:r>
              <w:rPr>
                <w:rFonts w:hint="eastAsia"/>
                <w:color w:val="000000"/>
                <w:kern w:val="0"/>
                <w:szCs w:val="21"/>
                <w:lang w:bidi="ar"/>
              </w:rPr>
              <w:t>2</w:t>
            </w:r>
          </w:p>
        </w:tc>
        <w:tc>
          <w:tcPr>
            <w:tcW w:w="17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供电设备</w:t>
            </w:r>
          </w:p>
        </w:tc>
        <w:tc>
          <w:tcPr>
            <w:tcW w:w="41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门禁专用控制电源/电箱PK-DC12/5A</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套</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236</w:t>
            </w:r>
          </w:p>
        </w:tc>
      </w:tr>
      <w:tr>
        <w:tblPrEx>
          <w:tblCellMar>
            <w:top w:w="0" w:type="dxa"/>
            <w:left w:w="108" w:type="dxa"/>
            <w:bottom w:w="0" w:type="dxa"/>
            <w:right w:w="108" w:type="dxa"/>
          </w:tblCellMar>
        </w:tblPrEx>
        <w:trPr>
          <w:trHeight w:val="450" w:hRule="atLeast"/>
        </w:trPr>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color w:val="000000" w:themeColor="text1"/>
                <w:szCs w:val="21"/>
                <w14:textFill>
                  <w14:solidFill>
                    <w14:schemeClr w14:val="tx1"/>
                  </w14:solidFill>
                </w14:textFill>
              </w:rPr>
            </w:pPr>
            <w:r>
              <w:rPr>
                <w:color w:val="000000"/>
                <w:kern w:val="0"/>
                <w:szCs w:val="21"/>
                <w:lang w:bidi="ar"/>
              </w:rPr>
              <w:t>15</w:t>
            </w:r>
            <w:r>
              <w:rPr>
                <w:rFonts w:hint="eastAsia"/>
                <w:color w:val="000000"/>
                <w:kern w:val="0"/>
                <w:szCs w:val="21"/>
                <w:lang w:bidi="ar"/>
              </w:rPr>
              <w:t>3</w:t>
            </w:r>
          </w:p>
        </w:tc>
        <w:tc>
          <w:tcPr>
            <w:tcW w:w="17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控制设备</w:t>
            </w:r>
          </w:p>
        </w:tc>
        <w:tc>
          <w:tcPr>
            <w:tcW w:w="41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服务器</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台</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cs="Arial"/>
                <w:color w:val="000000" w:themeColor="text1"/>
                <w:kern w:val="0"/>
                <w:szCs w:val="21"/>
                <w14:textFill>
                  <w14:solidFill>
                    <w14:schemeClr w14:val="tx1"/>
                  </w14:solidFill>
                </w14:textFill>
              </w:rPr>
            </w:pPr>
            <w:r>
              <w:rPr>
                <w:rFonts w:hint="eastAsia" w:ascii="宋体" w:hAnsi="宋体" w:cs="宋体"/>
                <w:color w:val="000000"/>
                <w:kern w:val="0"/>
                <w:szCs w:val="21"/>
                <w:lang w:bidi="ar"/>
              </w:rPr>
              <w:t>1</w:t>
            </w:r>
          </w:p>
        </w:tc>
      </w:tr>
    </w:tbl>
    <w:p>
      <w:pPr>
        <w:pStyle w:val="39"/>
        <w:adjustRightInd w:val="0"/>
        <w:snapToGrid w:val="0"/>
        <w:spacing w:line="440" w:lineRule="exact"/>
        <w:ind w:firstLine="480"/>
        <w:rPr>
          <w:rFonts w:ascii="宋体" w:hAnsi="宋体"/>
          <w:sz w:val="24"/>
        </w:rPr>
      </w:pPr>
    </w:p>
    <w:p>
      <w:pPr>
        <w:pStyle w:val="39"/>
        <w:adjustRightInd w:val="0"/>
        <w:snapToGrid w:val="0"/>
        <w:spacing w:line="440" w:lineRule="exact"/>
        <w:ind w:firstLine="480"/>
        <w:rPr>
          <w:rFonts w:ascii="宋体" w:hAnsi="宋体"/>
          <w:sz w:val="24"/>
        </w:rPr>
      </w:pPr>
      <w:r>
        <w:rPr>
          <w:rFonts w:hint="eastAsia" w:ascii="宋体" w:hAnsi="宋体"/>
          <w:sz w:val="24"/>
        </w:rPr>
        <w:t>中标人</w:t>
      </w:r>
      <w:r>
        <w:rPr>
          <w:rFonts w:ascii="宋体" w:hAnsi="宋体"/>
          <w:sz w:val="24"/>
        </w:rPr>
        <w:t>必</w:t>
      </w:r>
      <w:r>
        <w:rPr>
          <w:rFonts w:hint="eastAsia" w:ascii="宋体" w:hAnsi="宋体"/>
          <w:sz w:val="24"/>
        </w:rPr>
        <w:t>须对</w:t>
      </w:r>
      <w:r>
        <w:rPr>
          <w:rFonts w:ascii="宋体" w:hAnsi="宋体"/>
          <w:sz w:val="24"/>
        </w:rPr>
        <w:t>以上</w:t>
      </w:r>
      <w:r>
        <w:rPr>
          <w:rFonts w:hint="eastAsia" w:ascii="宋体" w:hAnsi="宋体"/>
          <w:sz w:val="24"/>
        </w:rPr>
        <w:t>涉及到的硬件、平台</w:t>
      </w:r>
      <w:r>
        <w:rPr>
          <w:rFonts w:ascii="宋体" w:hAnsi="宋体"/>
          <w:sz w:val="24"/>
        </w:rPr>
        <w:t>进行日常巡视</w:t>
      </w:r>
      <w:r>
        <w:rPr>
          <w:rFonts w:hint="eastAsia" w:ascii="宋体" w:hAnsi="宋体"/>
          <w:sz w:val="24"/>
        </w:rPr>
        <w:t>、检修、</w:t>
      </w:r>
      <w:r>
        <w:rPr>
          <w:rFonts w:ascii="宋体" w:hAnsi="宋体"/>
          <w:sz w:val="24"/>
        </w:rPr>
        <w:t>维护</w:t>
      </w:r>
      <w:r>
        <w:rPr>
          <w:rFonts w:hint="eastAsia" w:ascii="宋体" w:hAnsi="宋体"/>
          <w:sz w:val="24"/>
        </w:rPr>
        <w:t>、</w:t>
      </w:r>
      <w:r>
        <w:rPr>
          <w:rFonts w:ascii="宋体" w:hAnsi="宋体"/>
          <w:sz w:val="24"/>
        </w:rPr>
        <w:t>保养</w:t>
      </w:r>
      <w:r>
        <w:rPr>
          <w:rFonts w:hint="eastAsia" w:ascii="宋体" w:hAnsi="宋体"/>
          <w:sz w:val="24"/>
        </w:rPr>
        <w:t>服务</w:t>
      </w:r>
      <w:r>
        <w:rPr>
          <w:rFonts w:ascii="宋体" w:hAnsi="宋体"/>
          <w:sz w:val="24"/>
        </w:rPr>
        <w:t>和出现</w:t>
      </w:r>
      <w:r>
        <w:rPr>
          <w:rFonts w:hint="eastAsia" w:ascii="宋体" w:hAnsi="宋体"/>
          <w:sz w:val="24"/>
        </w:rPr>
        <w:t>故障</w:t>
      </w:r>
      <w:r>
        <w:rPr>
          <w:rFonts w:ascii="宋体" w:hAnsi="宋体"/>
          <w:sz w:val="24"/>
        </w:rPr>
        <w:t>后的紧急维护修理</w:t>
      </w:r>
      <w:r>
        <w:rPr>
          <w:rFonts w:hint="eastAsia" w:ascii="宋体" w:hAnsi="宋体"/>
          <w:sz w:val="24"/>
        </w:rPr>
        <w:t>，</w:t>
      </w:r>
      <w:r>
        <w:rPr>
          <w:rFonts w:ascii="宋体" w:hAnsi="宋体"/>
          <w:sz w:val="24"/>
        </w:rPr>
        <w:t>保证系统的正常工作和运行</w:t>
      </w:r>
      <w:r>
        <w:rPr>
          <w:rFonts w:hint="eastAsia" w:ascii="宋体" w:hAnsi="宋体"/>
          <w:sz w:val="24"/>
        </w:rPr>
        <w:t>，同时建立电子检测维护记录档案，配合招标人专网改造等。若</w:t>
      </w:r>
      <w:r>
        <w:rPr>
          <w:rFonts w:ascii="宋体" w:hAnsi="宋体"/>
          <w:sz w:val="24"/>
        </w:rPr>
        <w:t>系统软件问题则必须配合软件人员工作</w:t>
      </w:r>
      <w:r>
        <w:rPr>
          <w:rFonts w:hint="eastAsia" w:ascii="宋体" w:hAnsi="宋体"/>
          <w:sz w:val="24"/>
        </w:rPr>
        <w:t>，</w:t>
      </w:r>
      <w:r>
        <w:rPr>
          <w:rFonts w:ascii="宋体" w:hAnsi="宋体"/>
          <w:sz w:val="24"/>
        </w:rPr>
        <w:t>共同解决问题</w:t>
      </w:r>
      <w:r>
        <w:rPr>
          <w:rFonts w:hint="eastAsia" w:ascii="宋体" w:hAnsi="宋体"/>
          <w:sz w:val="24"/>
        </w:rPr>
        <w:t>；</w:t>
      </w:r>
    </w:p>
    <w:p>
      <w:pPr>
        <w:adjustRightInd w:val="0"/>
        <w:snapToGrid w:val="0"/>
        <w:spacing w:line="440" w:lineRule="exact"/>
        <w:ind w:firstLine="480" w:firstLineChars="200"/>
        <w:rPr>
          <w:rFonts w:ascii="宋体" w:hAnsi="宋体"/>
          <w:sz w:val="24"/>
        </w:rPr>
      </w:pPr>
      <w:r>
        <w:rPr>
          <w:rFonts w:hint="eastAsia" w:ascii="宋体" w:hAnsi="宋体"/>
          <w:sz w:val="24"/>
        </w:rPr>
        <w:t>二、项目内容</w:t>
      </w:r>
    </w:p>
    <w:p>
      <w:pPr>
        <w:pStyle w:val="39"/>
        <w:adjustRightInd w:val="0"/>
        <w:snapToGrid w:val="0"/>
        <w:spacing w:line="440" w:lineRule="exact"/>
        <w:ind w:firstLine="480"/>
        <w:rPr>
          <w:rFonts w:ascii="宋体" w:hAnsi="宋体"/>
          <w:sz w:val="24"/>
        </w:rPr>
      </w:pPr>
      <w:r>
        <w:rPr>
          <w:rFonts w:ascii="宋体" w:hAnsi="宋体"/>
          <w:sz w:val="24"/>
        </w:rPr>
        <w:t>(</w:t>
      </w:r>
      <w:r>
        <w:rPr>
          <w:rFonts w:hint="eastAsia" w:ascii="宋体" w:hAnsi="宋体"/>
          <w:sz w:val="24"/>
        </w:rPr>
        <w:t>一</w:t>
      </w:r>
      <w:r>
        <w:rPr>
          <w:rFonts w:ascii="宋体" w:hAnsi="宋体"/>
          <w:sz w:val="24"/>
        </w:rPr>
        <w:t>)</w:t>
      </w:r>
      <w:r>
        <w:rPr>
          <w:rFonts w:hint="eastAsia" w:ascii="宋体" w:hAnsi="宋体"/>
          <w:sz w:val="24"/>
        </w:rPr>
        <w:t xml:space="preserve"> 应急</w:t>
      </w:r>
      <w:r>
        <w:rPr>
          <w:rFonts w:ascii="宋体" w:hAnsi="宋体"/>
          <w:sz w:val="24"/>
        </w:rPr>
        <w:t>抢修</w:t>
      </w:r>
    </w:p>
    <w:p>
      <w:pPr>
        <w:pStyle w:val="39"/>
        <w:adjustRightInd w:val="0"/>
        <w:snapToGrid w:val="0"/>
        <w:spacing w:line="440" w:lineRule="exact"/>
        <w:ind w:firstLine="480"/>
        <w:rPr>
          <w:rFonts w:ascii="宋体" w:hAnsi="宋体"/>
          <w:sz w:val="24"/>
        </w:rPr>
      </w:pPr>
      <w:r>
        <w:rPr>
          <w:rFonts w:hint="eastAsia" w:ascii="宋体" w:hAnsi="宋体"/>
          <w:sz w:val="24"/>
        </w:rPr>
        <w:t>1.1应急</w:t>
      </w:r>
      <w:r>
        <w:rPr>
          <w:rFonts w:ascii="宋体" w:hAnsi="宋体"/>
          <w:sz w:val="24"/>
        </w:rPr>
        <w:t>抢修</w:t>
      </w:r>
      <w:r>
        <w:rPr>
          <w:rFonts w:hint="eastAsia" w:ascii="宋体" w:hAnsi="宋体"/>
          <w:sz w:val="24"/>
        </w:rPr>
        <w:t>是</w:t>
      </w:r>
      <w:r>
        <w:rPr>
          <w:rFonts w:ascii="宋体" w:hAnsi="宋体"/>
          <w:sz w:val="24"/>
        </w:rPr>
        <w:t>对监控系统突然出现的问题进行立刻修理</w:t>
      </w:r>
      <w:r>
        <w:rPr>
          <w:rFonts w:hint="eastAsia" w:ascii="宋体" w:hAnsi="宋体"/>
          <w:sz w:val="24"/>
        </w:rPr>
        <w:t>的</w:t>
      </w:r>
      <w:r>
        <w:rPr>
          <w:rFonts w:ascii="宋体" w:hAnsi="宋体"/>
          <w:sz w:val="24"/>
        </w:rPr>
        <w:t>措施。</w:t>
      </w:r>
      <w:r>
        <w:rPr>
          <w:rFonts w:hint="eastAsia" w:ascii="宋体" w:hAnsi="宋体"/>
          <w:sz w:val="24"/>
        </w:rPr>
        <w:t>监控系统必须保证正常录像，不影响医院正常教学、科研工作秩序。</w:t>
      </w:r>
    </w:p>
    <w:p>
      <w:pPr>
        <w:pStyle w:val="39"/>
        <w:adjustRightInd w:val="0"/>
        <w:snapToGrid w:val="0"/>
        <w:spacing w:line="440" w:lineRule="exact"/>
        <w:ind w:firstLine="480"/>
        <w:rPr>
          <w:rFonts w:ascii="宋体" w:hAnsi="宋体"/>
          <w:sz w:val="24"/>
        </w:rPr>
      </w:pPr>
      <w:r>
        <w:rPr>
          <w:rFonts w:ascii="宋体" w:hAnsi="宋体"/>
          <w:sz w:val="24"/>
        </w:rPr>
        <w:t>1</w:t>
      </w:r>
      <w:r>
        <w:rPr>
          <w:rFonts w:hint="eastAsia" w:ascii="宋体" w:hAnsi="宋体"/>
          <w:sz w:val="24"/>
        </w:rPr>
        <w:t>.</w:t>
      </w:r>
      <w:r>
        <w:rPr>
          <w:rFonts w:ascii="宋体" w:hAnsi="宋体"/>
          <w:sz w:val="24"/>
        </w:rPr>
        <w:t>2</w:t>
      </w:r>
      <w:r>
        <w:rPr>
          <w:rFonts w:hint="eastAsia" w:ascii="宋体" w:hAnsi="宋体"/>
          <w:sz w:val="24"/>
        </w:rPr>
        <w:t>设备</w:t>
      </w:r>
      <w:r>
        <w:rPr>
          <w:rFonts w:ascii="宋体" w:hAnsi="宋体"/>
          <w:sz w:val="24"/>
        </w:rPr>
        <w:t>故障响应</w:t>
      </w:r>
      <w:r>
        <w:rPr>
          <w:rFonts w:hint="eastAsia" w:ascii="宋体" w:hAnsi="宋体"/>
          <w:sz w:val="24"/>
        </w:rPr>
        <w:t>：中标人维保</w:t>
      </w:r>
      <w:r>
        <w:rPr>
          <w:rFonts w:ascii="宋体" w:hAnsi="宋体"/>
          <w:sz w:val="24"/>
        </w:rPr>
        <w:t>人员</w:t>
      </w:r>
      <w:r>
        <w:rPr>
          <w:rFonts w:hint="eastAsia" w:ascii="宋体" w:hAnsi="宋体"/>
          <w:sz w:val="24"/>
        </w:rPr>
        <w:t>在接到招标人电话或书面的检修通知后，必须指定技术人员2小时内到达故障现场，</w:t>
      </w:r>
      <w:r>
        <w:rPr>
          <w:rFonts w:ascii="宋体" w:hAnsi="宋体"/>
          <w:sz w:val="24"/>
        </w:rPr>
        <w:t>并</w:t>
      </w:r>
      <w:r>
        <w:rPr>
          <w:rFonts w:hint="eastAsia" w:ascii="宋体" w:hAnsi="宋体"/>
          <w:sz w:val="24"/>
        </w:rPr>
        <w:t>处理</w:t>
      </w:r>
      <w:r>
        <w:rPr>
          <w:rFonts w:ascii="宋体" w:hAnsi="宋体"/>
          <w:sz w:val="24"/>
        </w:rPr>
        <w:t>解决</w:t>
      </w:r>
      <w:r>
        <w:rPr>
          <w:rFonts w:hint="eastAsia" w:ascii="宋体" w:hAnsi="宋体"/>
          <w:sz w:val="24"/>
        </w:rPr>
        <w:t>问题。</w:t>
      </w:r>
    </w:p>
    <w:p>
      <w:pPr>
        <w:pStyle w:val="39"/>
        <w:adjustRightInd w:val="0"/>
        <w:snapToGrid w:val="0"/>
        <w:spacing w:line="440" w:lineRule="exact"/>
        <w:ind w:firstLine="480"/>
        <w:rPr>
          <w:rFonts w:ascii="宋体" w:hAnsi="宋体"/>
          <w:sz w:val="24"/>
        </w:rPr>
      </w:pPr>
      <w:r>
        <w:rPr>
          <w:rFonts w:ascii="宋体" w:hAnsi="宋体"/>
          <w:sz w:val="24"/>
        </w:rPr>
        <w:t>1</w:t>
      </w:r>
      <w:r>
        <w:rPr>
          <w:rFonts w:hint="eastAsia" w:ascii="宋体" w:hAnsi="宋体"/>
          <w:sz w:val="24"/>
        </w:rPr>
        <w:t>.3故障修复：一般故障4小时内修复、重大故障24小时内修复（以上时间均包括响应时间在内）。遇节假日和重大活动期间，中标人应提前派工程师对系统进行巡检，以确保设备能正常工作。</w:t>
      </w:r>
    </w:p>
    <w:p>
      <w:pPr>
        <w:pStyle w:val="39"/>
        <w:adjustRightInd w:val="0"/>
        <w:snapToGrid w:val="0"/>
        <w:spacing w:line="440" w:lineRule="exact"/>
        <w:ind w:firstLine="480"/>
        <w:rPr>
          <w:rFonts w:ascii="宋体" w:hAnsi="宋体"/>
          <w:sz w:val="24"/>
        </w:rPr>
      </w:pPr>
      <w:r>
        <w:rPr>
          <w:rFonts w:hint="eastAsia" w:ascii="宋体" w:hAnsi="宋体"/>
          <w:sz w:val="24"/>
        </w:rPr>
        <w:t>1.4 设备更换：系统中设备损坏的零部件</w:t>
      </w:r>
      <w:r>
        <w:rPr>
          <w:rFonts w:ascii="宋体" w:hAnsi="宋体"/>
          <w:sz w:val="24"/>
        </w:rPr>
        <w:t>单次单价</w:t>
      </w:r>
      <w:r>
        <w:rPr>
          <w:rFonts w:hint="eastAsia" w:ascii="宋体" w:hAnsi="宋体"/>
          <w:sz w:val="24"/>
        </w:rPr>
        <w:t>100</w:t>
      </w:r>
      <w:r>
        <w:rPr>
          <w:rFonts w:ascii="宋体" w:hAnsi="宋体"/>
          <w:sz w:val="24"/>
        </w:rPr>
        <w:t>元以下的零配件及耗材</w:t>
      </w:r>
      <w:r>
        <w:rPr>
          <w:rFonts w:hint="eastAsia" w:ascii="宋体" w:hAnsi="宋体"/>
          <w:sz w:val="24"/>
        </w:rPr>
        <w:t>费用由中标人承担更换，100元</w:t>
      </w:r>
      <w:r>
        <w:rPr>
          <w:rFonts w:ascii="宋体" w:hAnsi="宋体"/>
          <w:sz w:val="24"/>
        </w:rPr>
        <w:t>以上的</w:t>
      </w:r>
      <w:r>
        <w:rPr>
          <w:rFonts w:hint="eastAsia" w:ascii="宋体" w:hAnsi="宋体"/>
          <w:sz w:val="24"/>
        </w:rPr>
        <w:t>经招标人和</w:t>
      </w:r>
      <w:r>
        <w:rPr>
          <w:rFonts w:ascii="宋体" w:hAnsi="宋体"/>
          <w:sz w:val="24"/>
        </w:rPr>
        <w:t>中标人</w:t>
      </w:r>
      <w:r>
        <w:rPr>
          <w:rFonts w:hint="eastAsia" w:ascii="宋体" w:hAnsi="宋体"/>
          <w:sz w:val="24"/>
        </w:rPr>
        <w:t>双方认定后，费用由招标人支付。如有专业设备损坏招标人可以委托中标人按当期市场主导价代为采购，但单价</w:t>
      </w:r>
      <w:r>
        <w:rPr>
          <w:rFonts w:ascii="宋体" w:hAnsi="宋体"/>
          <w:sz w:val="24"/>
        </w:rPr>
        <w:t>不得高于</w:t>
      </w:r>
      <w:r>
        <w:rPr>
          <w:rFonts w:hint="eastAsia" w:ascii="宋体" w:hAnsi="宋体"/>
          <w:sz w:val="24"/>
        </w:rPr>
        <w:t>中标人维修零配件报价清单中</w:t>
      </w:r>
      <w:r>
        <w:rPr>
          <w:rFonts w:ascii="宋体" w:hAnsi="宋体"/>
          <w:sz w:val="24"/>
        </w:rPr>
        <w:t>的报价</w:t>
      </w:r>
      <w:r>
        <w:rPr>
          <w:rFonts w:hint="eastAsia" w:ascii="宋体" w:hAnsi="宋体"/>
          <w:sz w:val="24"/>
        </w:rPr>
        <w:t>，中标人应予配合。费用按实际发生的数量计算总额收取。如遇维修零配件报价清单中的产品停产，同品牌的替换产品不得低于投标产品的技术参数要求</w:t>
      </w:r>
    </w:p>
    <w:p>
      <w:pPr>
        <w:pStyle w:val="39"/>
        <w:adjustRightInd w:val="0"/>
        <w:snapToGrid w:val="0"/>
        <w:spacing w:line="440" w:lineRule="exact"/>
        <w:ind w:firstLine="480"/>
        <w:rPr>
          <w:rFonts w:ascii="宋体" w:hAnsi="宋体"/>
          <w:sz w:val="24"/>
        </w:rPr>
      </w:pPr>
      <w:r>
        <w:rPr>
          <w:rFonts w:hint="eastAsia" w:ascii="宋体" w:hAnsi="宋体"/>
          <w:sz w:val="24"/>
        </w:rPr>
        <w:t>应急</w:t>
      </w:r>
      <w:r>
        <w:rPr>
          <w:rFonts w:ascii="宋体" w:hAnsi="宋体"/>
          <w:sz w:val="24"/>
        </w:rPr>
        <w:t>抢修前先拍照留档，</w:t>
      </w:r>
      <w:r>
        <w:rPr>
          <w:rFonts w:hint="eastAsia" w:ascii="宋体" w:hAnsi="宋体"/>
          <w:sz w:val="24"/>
        </w:rPr>
        <w:t>修复后必须</w:t>
      </w:r>
      <w:r>
        <w:rPr>
          <w:rFonts w:ascii="宋体" w:hAnsi="宋体"/>
          <w:sz w:val="24"/>
        </w:rPr>
        <w:t>填写相关报表</w:t>
      </w:r>
      <w:r>
        <w:rPr>
          <w:rFonts w:hint="eastAsia" w:ascii="宋体" w:hAnsi="宋体"/>
          <w:sz w:val="24"/>
        </w:rPr>
        <w:t>，描述</w:t>
      </w:r>
      <w:r>
        <w:rPr>
          <w:rFonts w:ascii="宋体" w:hAnsi="宋体"/>
          <w:sz w:val="24"/>
        </w:rPr>
        <w:t>现场和原因，</w:t>
      </w:r>
      <w:r>
        <w:rPr>
          <w:rFonts w:hint="eastAsia" w:ascii="宋体" w:hAnsi="宋体"/>
          <w:sz w:val="24"/>
        </w:rPr>
        <w:t>并经保卫科相关人员</w:t>
      </w:r>
      <w:r>
        <w:rPr>
          <w:rFonts w:ascii="宋体" w:hAnsi="宋体"/>
          <w:sz w:val="24"/>
        </w:rPr>
        <w:t>签字确认</w:t>
      </w:r>
      <w:r>
        <w:rPr>
          <w:rFonts w:hint="eastAsia" w:ascii="宋体" w:hAnsi="宋体"/>
          <w:sz w:val="24"/>
        </w:rPr>
        <w:t>后</w:t>
      </w:r>
      <w:r>
        <w:rPr>
          <w:rFonts w:ascii="宋体" w:hAnsi="宋体"/>
          <w:sz w:val="24"/>
        </w:rPr>
        <w:t>交</w:t>
      </w:r>
      <w:r>
        <w:rPr>
          <w:rFonts w:hint="eastAsia" w:ascii="宋体" w:hAnsi="宋体"/>
          <w:sz w:val="24"/>
        </w:rPr>
        <w:t>保卫处</w:t>
      </w:r>
      <w:r>
        <w:rPr>
          <w:rFonts w:ascii="宋体" w:hAnsi="宋体"/>
          <w:sz w:val="24"/>
        </w:rPr>
        <w:t>留档，以作为支付维保费</w:t>
      </w:r>
      <w:r>
        <w:rPr>
          <w:rFonts w:hint="eastAsia" w:ascii="宋体" w:hAnsi="宋体"/>
          <w:sz w:val="24"/>
        </w:rPr>
        <w:t>和硬件</w:t>
      </w:r>
      <w:r>
        <w:rPr>
          <w:rFonts w:ascii="宋体" w:hAnsi="宋体"/>
          <w:sz w:val="24"/>
        </w:rPr>
        <w:t>更换</w:t>
      </w:r>
      <w:r>
        <w:rPr>
          <w:rFonts w:hint="eastAsia" w:ascii="宋体" w:hAnsi="宋体"/>
          <w:sz w:val="24"/>
        </w:rPr>
        <w:t>费用</w:t>
      </w:r>
      <w:r>
        <w:rPr>
          <w:rFonts w:ascii="宋体" w:hAnsi="宋体"/>
          <w:sz w:val="24"/>
        </w:rPr>
        <w:t>的</w:t>
      </w:r>
      <w:r>
        <w:rPr>
          <w:rFonts w:hint="eastAsia" w:ascii="宋体" w:hAnsi="宋体"/>
          <w:sz w:val="24"/>
        </w:rPr>
        <w:t>依据。</w:t>
      </w:r>
    </w:p>
    <w:p>
      <w:pPr>
        <w:pStyle w:val="39"/>
        <w:adjustRightInd w:val="0"/>
        <w:snapToGrid w:val="0"/>
        <w:spacing w:line="440" w:lineRule="exact"/>
        <w:ind w:firstLine="480"/>
        <w:rPr>
          <w:rFonts w:ascii="宋体" w:hAnsi="宋体"/>
          <w:sz w:val="24"/>
        </w:rPr>
      </w:pPr>
      <w:r>
        <w:rPr>
          <w:rFonts w:hint="eastAsia" w:ascii="宋体" w:hAnsi="宋体"/>
          <w:sz w:val="24"/>
        </w:rPr>
        <w:t>(二</w:t>
      </w:r>
      <w:r>
        <w:rPr>
          <w:rFonts w:ascii="宋体" w:hAnsi="宋体"/>
          <w:sz w:val="24"/>
        </w:rPr>
        <w:t>)</w:t>
      </w:r>
      <w:r>
        <w:rPr>
          <w:rFonts w:hint="eastAsia" w:ascii="宋体" w:hAnsi="宋体"/>
          <w:sz w:val="24"/>
        </w:rPr>
        <w:t>平时</w:t>
      </w:r>
      <w:r>
        <w:rPr>
          <w:rFonts w:ascii="宋体" w:hAnsi="宋体"/>
          <w:sz w:val="24"/>
        </w:rPr>
        <w:t>维护保养</w:t>
      </w:r>
    </w:p>
    <w:p>
      <w:pPr>
        <w:pStyle w:val="39"/>
        <w:adjustRightInd w:val="0"/>
        <w:snapToGrid w:val="0"/>
        <w:spacing w:line="440" w:lineRule="exact"/>
        <w:ind w:firstLine="480"/>
        <w:rPr>
          <w:rFonts w:ascii="宋体" w:hAnsi="宋体"/>
          <w:sz w:val="24"/>
        </w:rPr>
      </w:pPr>
      <w:r>
        <w:rPr>
          <w:rFonts w:ascii="宋体" w:hAnsi="宋体"/>
          <w:sz w:val="24"/>
        </w:rPr>
        <w:t xml:space="preserve">2.1 </w:t>
      </w:r>
      <w:r>
        <w:rPr>
          <w:rFonts w:hint="eastAsia" w:ascii="宋体" w:hAnsi="宋体"/>
          <w:sz w:val="24"/>
        </w:rPr>
        <w:t>维保项目</w:t>
      </w:r>
      <w:r>
        <w:rPr>
          <w:rFonts w:ascii="宋体" w:hAnsi="宋体"/>
          <w:sz w:val="24"/>
        </w:rPr>
        <w:t>工作小组，必须</w:t>
      </w:r>
      <w:r>
        <w:rPr>
          <w:rFonts w:hint="eastAsia" w:ascii="宋体" w:hAnsi="宋体"/>
          <w:sz w:val="24"/>
        </w:rPr>
        <w:t>明确</w:t>
      </w:r>
      <w:r>
        <w:rPr>
          <w:rFonts w:ascii="宋体" w:hAnsi="宋体"/>
          <w:sz w:val="24"/>
        </w:rPr>
        <w:t>项目负责人，负责运维项目日常运行</w:t>
      </w:r>
      <w:r>
        <w:rPr>
          <w:rFonts w:hint="eastAsia" w:ascii="宋体" w:hAnsi="宋体"/>
          <w:sz w:val="24"/>
        </w:rPr>
        <w:t>巡检。项目</w:t>
      </w:r>
      <w:r>
        <w:rPr>
          <w:rFonts w:ascii="宋体" w:hAnsi="宋体"/>
          <w:sz w:val="24"/>
        </w:rPr>
        <w:t>小组至少</w:t>
      </w:r>
      <w:r>
        <w:rPr>
          <w:rFonts w:hint="eastAsia" w:ascii="宋体" w:hAnsi="宋体"/>
          <w:sz w:val="24"/>
        </w:rPr>
        <w:t>委派一名专业</w:t>
      </w:r>
      <w:r>
        <w:rPr>
          <w:rFonts w:ascii="宋体" w:hAnsi="宋体"/>
          <w:sz w:val="24"/>
        </w:rPr>
        <w:t>技术人员，</w:t>
      </w:r>
      <w:r>
        <w:rPr>
          <w:rFonts w:hint="eastAsia" w:ascii="宋体" w:hAnsi="宋体"/>
          <w:sz w:val="24"/>
        </w:rPr>
        <w:t>定期</w:t>
      </w:r>
      <w:r>
        <w:rPr>
          <w:rFonts w:ascii="宋体" w:hAnsi="宋体"/>
          <w:sz w:val="24"/>
        </w:rPr>
        <w:t>响应</w:t>
      </w:r>
      <w:r>
        <w:rPr>
          <w:rFonts w:hint="eastAsia" w:ascii="宋体" w:hAnsi="宋体"/>
          <w:sz w:val="24"/>
        </w:rPr>
        <w:t>和</w:t>
      </w:r>
      <w:r>
        <w:rPr>
          <w:rFonts w:ascii="宋体" w:hAnsi="宋体"/>
          <w:sz w:val="24"/>
        </w:rPr>
        <w:t>平时维护保养</w:t>
      </w:r>
      <w:r>
        <w:rPr>
          <w:rFonts w:hint="eastAsia" w:ascii="宋体" w:hAnsi="宋体"/>
          <w:sz w:val="24"/>
        </w:rPr>
        <w:t>。维护</w:t>
      </w:r>
      <w:r>
        <w:rPr>
          <w:rFonts w:ascii="宋体" w:hAnsi="宋体"/>
          <w:sz w:val="24"/>
        </w:rPr>
        <w:t>人员</w:t>
      </w:r>
      <w:r>
        <w:rPr>
          <w:rFonts w:hint="eastAsia" w:ascii="宋体" w:hAnsi="宋体"/>
          <w:sz w:val="24"/>
        </w:rPr>
        <w:t>应具备其所做特殊工种的相应生产资质，具有两</w:t>
      </w:r>
      <w:r>
        <w:rPr>
          <w:rFonts w:ascii="宋体" w:hAnsi="宋体"/>
          <w:sz w:val="24"/>
        </w:rPr>
        <w:t>年以上工作经验</w:t>
      </w:r>
      <w:r>
        <w:rPr>
          <w:rFonts w:hint="eastAsia" w:ascii="宋体" w:hAnsi="宋体"/>
          <w:sz w:val="24"/>
        </w:rPr>
        <w:t>并</w:t>
      </w:r>
      <w:r>
        <w:rPr>
          <w:rFonts w:ascii="宋体" w:hAnsi="宋体"/>
          <w:sz w:val="24"/>
        </w:rPr>
        <w:t>已交满</w:t>
      </w:r>
      <w:r>
        <w:rPr>
          <w:rFonts w:hint="eastAsia" w:ascii="宋体" w:hAnsi="宋体"/>
          <w:sz w:val="24"/>
        </w:rPr>
        <w:t>1年</w:t>
      </w:r>
      <w:r>
        <w:rPr>
          <w:rFonts w:ascii="宋体" w:hAnsi="宋体"/>
          <w:sz w:val="24"/>
        </w:rPr>
        <w:t>养老保险的，需具备</w:t>
      </w:r>
      <w:r>
        <w:rPr>
          <w:rFonts w:hint="eastAsia" w:ascii="宋体" w:hAnsi="宋体"/>
          <w:sz w:val="24"/>
        </w:rPr>
        <w:t>相关技术</w:t>
      </w:r>
      <w:r>
        <w:rPr>
          <w:rFonts w:ascii="宋体" w:hAnsi="宋体"/>
          <w:sz w:val="24"/>
        </w:rPr>
        <w:t>资质</w:t>
      </w:r>
      <w:r>
        <w:rPr>
          <w:rFonts w:hint="eastAsia" w:ascii="宋体" w:hAnsi="宋体"/>
          <w:sz w:val="24"/>
        </w:rPr>
        <w:t>。</w:t>
      </w:r>
    </w:p>
    <w:p>
      <w:pPr>
        <w:adjustRightInd w:val="0"/>
        <w:snapToGrid w:val="0"/>
        <w:spacing w:line="440" w:lineRule="exact"/>
        <w:ind w:firstLine="472" w:firstLineChars="197"/>
        <w:rPr>
          <w:rFonts w:ascii="宋体" w:hAnsi="宋体"/>
          <w:sz w:val="24"/>
        </w:rPr>
      </w:pPr>
      <w:r>
        <w:rPr>
          <w:rFonts w:hint="eastAsia" w:ascii="宋体" w:hAnsi="宋体"/>
          <w:sz w:val="24"/>
        </w:rPr>
        <w:t>2</w:t>
      </w:r>
      <w:r>
        <w:rPr>
          <w:rFonts w:ascii="宋体" w:hAnsi="宋体"/>
          <w:sz w:val="24"/>
        </w:rPr>
        <w:t xml:space="preserve">.2 </w:t>
      </w:r>
      <w:r>
        <w:rPr>
          <w:rFonts w:hint="eastAsia" w:ascii="宋体" w:hAnsi="宋体"/>
          <w:sz w:val="24"/>
        </w:rPr>
        <w:t>对</w:t>
      </w:r>
      <w:r>
        <w:rPr>
          <w:rFonts w:ascii="宋体" w:hAnsi="宋体"/>
          <w:sz w:val="24"/>
        </w:rPr>
        <w:t>监控系统硬件</w:t>
      </w:r>
      <w:r>
        <w:rPr>
          <w:rFonts w:hint="eastAsia" w:ascii="宋体" w:hAnsi="宋体"/>
          <w:sz w:val="24"/>
        </w:rPr>
        <w:t>巡检</w:t>
      </w:r>
    </w:p>
    <w:p>
      <w:pPr>
        <w:pStyle w:val="39"/>
        <w:adjustRightInd w:val="0"/>
        <w:snapToGrid w:val="0"/>
        <w:spacing w:line="440" w:lineRule="exact"/>
        <w:ind w:firstLine="480"/>
        <w:rPr>
          <w:rFonts w:ascii="宋体" w:hAnsi="宋体"/>
          <w:sz w:val="24"/>
        </w:rPr>
      </w:pPr>
      <w:r>
        <w:rPr>
          <w:rFonts w:hint="eastAsia" w:ascii="宋体" w:hAnsi="宋体"/>
          <w:sz w:val="24"/>
        </w:rPr>
        <w:t>(1)依次</w:t>
      </w:r>
      <w:r>
        <w:rPr>
          <w:rFonts w:ascii="宋体" w:hAnsi="宋体"/>
          <w:sz w:val="24"/>
        </w:rPr>
        <w:t>巡查</w:t>
      </w:r>
      <w:r>
        <w:rPr>
          <w:rFonts w:hint="eastAsia" w:ascii="宋体" w:hAnsi="宋体"/>
          <w:sz w:val="24"/>
        </w:rPr>
        <w:t>医院</w:t>
      </w:r>
      <w:r>
        <w:rPr>
          <w:rFonts w:ascii="宋体" w:hAnsi="宋体"/>
          <w:sz w:val="24"/>
        </w:rPr>
        <w:t>所有</w:t>
      </w:r>
      <w:r>
        <w:rPr>
          <w:rFonts w:hint="eastAsia" w:ascii="宋体" w:hAnsi="宋体"/>
          <w:sz w:val="24"/>
        </w:rPr>
        <w:t>摄像头</w:t>
      </w:r>
      <w:r>
        <w:rPr>
          <w:rFonts w:ascii="宋体" w:hAnsi="宋体"/>
          <w:sz w:val="24"/>
        </w:rPr>
        <w:t>的工作情况，</w:t>
      </w:r>
      <w:r>
        <w:rPr>
          <w:rFonts w:hint="eastAsia" w:ascii="宋体" w:hAnsi="宋体"/>
          <w:sz w:val="24"/>
        </w:rPr>
        <w:t>发现故障</w:t>
      </w:r>
      <w:r>
        <w:rPr>
          <w:rFonts w:ascii="宋体" w:hAnsi="宋体"/>
          <w:sz w:val="24"/>
        </w:rPr>
        <w:t>的</w:t>
      </w:r>
      <w:r>
        <w:rPr>
          <w:rFonts w:hint="eastAsia" w:ascii="宋体" w:hAnsi="宋体"/>
          <w:sz w:val="24"/>
        </w:rPr>
        <w:t>摄像头</w:t>
      </w:r>
      <w:r>
        <w:rPr>
          <w:rFonts w:ascii="宋体" w:hAnsi="宋体"/>
          <w:sz w:val="24"/>
        </w:rPr>
        <w:t>立即修理</w:t>
      </w:r>
      <w:r>
        <w:rPr>
          <w:rFonts w:hint="eastAsia" w:ascii="宋体" w:hAnsi="宋体"/>
          <w:sz w:val="24"/>
        </w:rPr>
        <w:t>或</w:t>
      </w:r>
      <w:r>
        <w:rPr>
          <w:rFonts w:ascii="宋体" w:hAnsi="宋体"/>
          <w:sz w:val="24"/>
        </w:rPr>
        <w:t>更换</w:t>
      </w:r>
      <w:r>
        <w:rPr>
          <w:rFonts w:hint="eastAsia" w:ascii="宋体" w:hAnsi="宋体"/>
          <w:sz w:val="24"/>
        </w:rPr>
        <w:t>，</w:t>
      </w:r>
      <w:r>
        <w:rPr>
          <w:rFonts w:ascii="宋体" w:hAnsi="宋体"/>
          <w:sz w:val="24"/>
        </w:rPr>
        <w:t>发现模糊画面的立即派人将摄像头镜头擦干净</w:t>
      </w:r>
      <w:r>
        <w:rPr>
          <w:rFonts w:hint="eastAsia" w:ascii="宋体" w:hAnsi="宋体"/>
          <w:sz w:val="24"/>
        </w:rPr>
        <w:t>，</w:t>
      </w:r>
      <w:r>
        <w:rPr>
          <w:rFonts w:ascii="宋体" w:hAnsi="宋体"/>
          <w:sz w:val="24"/>
        </w:rPr>
        <w:t>发现</w:t>
      </w:r>
      <w:r>
        <w:rPr>
          <w:rFonts w:hint="eastAsia" w:ascii="宋体" w:hAnsi="宋体"/>
          <w:sz w:val="24"/>
        </w:rPr>
        <w:t>镜头</w:t>
      </w:r>
      <w:r>
        <w:rPr>
          <w:rFonts w:ascii="宋体" w:hAnsi="宋体"/>
          <w:sz w:val="24"/>
        </w:rPr>
        <w:t>位置偏移的立即矫正。</w:t>
      </w:r>
    </w:p>
    <w:p>
      <w:pPr>
        <w:pStyle w:val="39"/>
        <w:adjustRightInd w:val="0"/>
        <w:snapToGrid w:val="0"/>
        <w:spacing w:line="440" w:lineRule="exact"/>
        <w:ind w:firstLine="480"/>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)摄像机保养：中标人至少每月对设备运行状态进行随机检查(覆盖</w:t>
      </w:r>
      <w:r>
        <w:rPr>
          <w:rFonts w:ascii="宋体" w:hAnsi="宋体"/>
          <w:sz w:val="24"/>
        </w:rPr>
        <w:t>率</w:t>
      </w:r>
      <w:r>
        <w:rPr>
          <w:rFonts w:hint="eastAsia" w:ascii="宋体" w:hAnsi="宋体"/>
          <w:sz w:val="24"/>
        </w:rPr>
        <w:t>至少</w:t>
      </w:r>
      <w:r>
        <w:rPr>
          <w:rFonts w:ascii="宋体" w:hAnsi="宋体"/>
          <w:sz w:val="24"/>
        </w:rPr>
        <w:t>达到</w:t>
      </w:r>
      <w:r>
        <w:rPr>
          <w:rFonts w:hint="eastAsia" w:ascii="宋体" w:hAnsi="宋体"/>
          <w:sz w:val="24"/>
        </w:rPr>
        <w:t>10</w:t>
      </w:r>
      <w:r>
        <w:rPr>
          <w:rFonts w:ascii="宋体" w:hAnsi="宋体"/>
          <w:sz w:val="24"/>
        </w:rPr>
        <w:t>%</w:t>
      </w:r>
      <w:r>
        <w:rPr>
          <w:rFonts w:hint="eastAsia" w:ascii="宋体" w:hAnsi="宋体"/>
          <w:sz w:val="24"/>
        </w:rPr>
        <w:t>)。看</w:t>
      </w:r>
      <w:r>
        <w:rPr>
          <w:rFonts w:ascii="宋体" w:hAnsi="宋体"/>
          <w:sz w:val="24"/>
        </w:rPr>
        <w:t>是否有摄像机损坏，</w:t>
      </w:r>
      <w:r>
        <w:rPr>
          <w:rFonts w:hint="eastAsia" w:ascii="宋体" w:hAnsi="宋体"/>
          <w:sz w:val="24"/>
        </w:rPr>
        <w:t>并做好记录。发现问题及时解决。</w:t>
      </w:r>
    </w:p>
    <w:p>
      <w:pPr>
        <w:pStyle w:val="39"/>
        <w:adjustRightInd w:val="0"/>
        <w:snapToGrid w:val="0"/>
        <w:spacing w:line="440" w:lineRule="exact"/>
        <w:ind w:firstLine="480"/>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)其他保养：中标人至少每月1次对主要设备进行详细检测，并做好记录。例如</w:t>
      </w:r>
      <w:r>
        <w:rPr>
          <w:rFonts w:ascii="宋体" w:hAnsi="宋体"/>
          <w:sz w:val="24"/>
        </w:rPr>
        <w:t>服务器</w:t>
      </w:r>
      <w:r>
        <w:rPr>
          <w:rFonts w:hint="eastAsia" w:ascii="宋体" w:hAnsi="宋体"/>
          <w:sz w:val="24"/>
        </w:rPr>
        <w:t>和</w:t>
      </w:r>
      <w:r>
        <w:rPr>
          <w:rFonts w:ascii="宋体" w:hAnsi="宋体"/>
          <w:sz w:val="24"/>
        </w:rPr>
        <w:t>硬盘录像机是否工作正常，硬盘是否</w:t>
      </w:r>
      <w:r>
        <w:rPr>
          <w:rFonts w:hint="eastAsia" w:ascii="宋体" w:hAnsi="宋体"/>
          <w:sz w:val="24"/>
        </w:rPr>
        <w:t>有损坏</w:t>
      </w:r>
      <w:r>
        <w:rPr>
          <w:rFonts w:ascii="宋体" w:hAnsi="宋体"/>
          <w:sz w:val="24"/>
        </w:rPr>
        <w:t>等，</w:t>
      </w:r>
      <w:r>
        <w:rPr>
          <w:rFonts w:hint="eastAsia" w:ascii="宋体" w:hAnsi="宋体"/>
          <w:sz w:val="24"/>
        </w:rPr>
        <w:t>时间为每月的15号，遇雨天或节假</w:t>
      </w:r>
      <w:r>
        <w:rPr>
          <w:rFonts w:ascii="宋体" w:hAnsi="宋体"/>
          <w:sz w:val="24"/>
        </w:rPr>
        <w:t>日</w:t>
      </w:r>
      <w:r>
        <w:rPr>
          <w:rFonts w:hint="eastAsia" w:ascii="宋体" w:hAnsi="宋体"/>
          <w:sz w:val="24"/>
        </w:rPr>
        <w:t>等顺延。</w:t>
      </w:r>
    </w:p>
    <w:p>
      <w:pPr>
        <w:pStyle w:val="39"/>
        <w:adjustRightInd w:val="0"/>
        <w:snapToGrid w:val="0"/>
        <w:spacing w:line="440" w:lineRule="exact"/>
        <w:ind w:firstLine="480"/>
        <w:rPr>
          <w:rFonts w:ascii="宋体" w:hAnsi="宋体"/>
          <w:sz w:val="24"/>
        </w:rPr>
      </w:pPr>
      <w:r>
        <w:rPr>
          <w:rFonts w:hint="eastAsia" w:ascii="宋体" w:hAnsi="宋体"/>
          <w:sz w:val="24"/>
        </w:rPr>
        <w:t>2.</w:t>
      </w:r>
      <w:r>
        <w:rPr>
          <w:rFonts w:ascii="宋体" w:hAnsi="宋体"/>
          <w:sz w:val="24"/>
        </w:rPr>
        <w:t>3添加和完善监控点位图的绘制</w:t>
      </w:r>
      <w:r>
        <w:rPr>
          <w:rFonts w:hint="eastAsia" w:ascii="宋体" w:hAnsi="宋体"/>
          <w:sz w:val="24"/>
        </w:rPr>
        <w:t xml:space="preserve">和设备、环境整理。 </w:t>
      </w:r>
    </w:p>
    <w:p>
      <w:pPr>
        <w:pStyle w:val="39"/>
        <w:adjustRightInd w:val="0"/>
        <w:snapToGrid w:val="0"/>
        <w:spacing w:line="440" w:lineRule="exact"/>
        <w:ind w:firstLine="480"/>
        <w:rPr>
          <w:rFonts w:ascii="宋体" w:hAnsi="宋体"/>
          <w:sz w:val="24"/>
        </w:rPr>
      </w:pPr>
      <w:r>
        <w:rPr>
          <w:rFonts w:hint="eastAsia" w:ascii="宋体" w:hAnsi="宋体"/>
          <w:sz w:val="24"/>
        </w:rPr>
        <w:t>在</w:t>
      </w:r>
      <w:r>
        <w:rPr>
          <w:rFonts w:ascii="宋体" w:hAnsi="宋体"/>
          <w:sz w:val="24"/>
        </w:rPr>
        <w:t>监控点位图上必须</w:t>
      </w:r>
      <w:r>
        <w:rPr>
          <w:rFonts w:hint="eastAsia" w:ascii="宋体" w:hAnsi="宋体"/>
          <w:sz w:val="24"/>
        </w:rPr>
        <w:t>标明各个摄像头</w:t>
      </w:r>
      <w:r>
        <w:rPr>
          <w:rFonts w:ascii="宋体" w:hAnsi="宋体"/>
          <w:sz w:val="24"/>
        </w:rPr>
        <w:t>的基本信息</w:t>
      </w:r>
      <w:r>
        <w:rPr>
          <w:rFonts w:hint="eastAsia" w:ascii="宋体" w:hAnsi="宋体"/>
          <w:sz w:val="24"/>
        </w:rPr>
        <w:t>（含</w:t>
      </w:r>
      <w:r>
        <w:rPr>
          <w:rFonts w:ascii="宋体" w:hAnsi="宋体"/>
          <w:sz w:val="24"/>
        </w:rPr>
        <w:t>型号、安装日期、类型和名称）</w:t>
      </w:r>
      <w:r>
        <w:rPr>
          <w:rFonts w:hint="eastAsia" w:ascii="宋体" w:hAnsi="宋体"/>
          <w:sz w:val="24"/>
        </w:rPr>
        <w:t>，</w:t>
      </w:r>
      <w:r>
        <w:rPr>
          <w:rFonts w:ascii="宋体" w:hAnsi="宋体"/>
          <w:sz w:val="24"/>
        </w:rPr>
        <w:t>其中名称必须与</w:t>
      </w:r>
      <w:r>
        <w:rPr>
          <w:rFonts w:hint="eastAsia" w:ascii="宋体" w:hAnsi="宋体"/>
          <w:sz w:val="24"/>
        </w:rPr>
        <w:t>监控</w:t>
      </w:r>
      <w:r>
        <w:rPr>
          <w:rFonts w:ascii="宋体" w:hAnsi="宋体"/>
          <w:sz w:val="24"/>
        </w:rPr>
        <w:t>录像</w:t>
      </w:r>
      <w:r>
        <w:rPr>
          <w:rFonts w:hint="eastAsia" w:ascii="宋体" w:hAnsi="宋体"/>
          <w:sz w:val="24"/>
        </w:rPr>
        <w:t>软件</w:t>
      </w:r>
      <w:r>
        <w:rPr>
          <w:rFonts w:ascii="宋体" w:hAnsi="宋体"/>
          <w:sz w:val="24"/>
        </w:rPr>
        <w:t>里的名称一致。</w:t>
      </w:r>
    </w:p>
    <w:p>
      <w:pPr>
        <w:spacing w:line="360" w:lineRule="auto"/>
        <w:ind w:right="26" w:firstLine="480" w:firstLineChars="200"/>
        <w:rPr>
          <w:rFonts w:ascii="宋体" w:hAnsi="宋体" w:cs="宋体"/>
          <w:bCs/>
          <w:sz w:val="24"/>
        </w:rPr>
      </w:pPr>
      <w:r>
        <w:rPr>
          <w:rFonts w:hint="eastAsia" w:ascii="宋体" w:hAnsi="宋体" w:cs="宋体"/>
          <w:bCs/>
          <w:sz w:val="24"/>
        </w:rPr>
        <w:t>3、安防报警系统的维护保养</w:t>
      </w:r>
    </w:p>
    <w:p>
      <w:pPr>
        <w:spacing w:line="360" w:lineRule="auto"/>
        <w:ind w:right="26" w:firstLine="480" w:firstLineChars="200"/>
        <w:rPr>
          <w:rFonts w:ascii="宋体" w:hAnsi="宋体" w:cs="宋体"/>
          <w:sz w:val="24"/>
        </w:rPr>
      </w:pPr>
      <w:r>
        <w:rPr>
          <w:rFonts w:hint="eastAsia" w:ascii="宋体" w:hAnsi="宋体" w:cs="宋体"/>
          <w:sz w:val="24"/>
        </w:rPr>
        <w:t>3.1检查前端报警设备的供电是否正常。</w:t>
      </w:r>
    </w:p>
    <w:p>
      <w:pPr>
        <w:spacing w:line="360" w:lineRule="auto"/>
        <w:ind w:right="26" w:firstLine="480" w:firstLineChars="200"/>
        <w:rPr>
          <w:rFonts w:ascii="宋体" w:hAnsi="宋体" w:cs="宋体"/>
          <w:sz w:val="24"/>
        </w:rPr>
      </w:pPr>
      <w:r>
        <w:rPr>
          <w:rFonts w:hint="eastAsia" w:ascii="宋体" w:hAnsi="宋体" w:cs="宋体"/>
          <w:sz w:val="24"/>
        </w:rPr>
        <w:t>3.2检查前端报警设备的灵敏度。</w:t>
      </w:r>
    </w:p>
    <w:p>
      <w:pPr>
        <w:spacing w:line="360" w:lineRule="auto"/>
        <w:ind w:right="26" w:firstLine="480" w:firstLineChars="200"/>
        <w:rPr>
          <w:rFonts w:ascii="宋体" w:hAnsi="宋体" w:cs="宋体"/>
          <w:sz w:val="24"/>
        </w:rPr>
      </w:pPr>
      <w:r>
        <w:rPr>
          <w:rFonts w:hint="eastAsia" w:ascii="宋体" w:hAnsi="宋体" w:cs="宋体"/>
          <w:sz w:val="24"/>
        </w:rPr>
        <w:t>3.3检查前端设备的通讯是否正常，布防撤防是否正常。</w:t>
      </w:r>
    </w:p>
    <w:p>
      <w:pPr>
        <w:spacing w:line="360" w:lineRule="auto"/>
        <w:ind w:right="26" w:firstLine="480" w:firstLineChars="200"/>
        <w:rPr>
          <w:rFonts w:ascii="宋体" w:hAnsi="宋体" w:cs="宋体"/>
          <w:sz w:val="24"/>
        </w:rPr>
      </w:pPr>
      <w:r>
        <w:rPr>
          <w:rFonts w:hint="eastAsia" w:ascii="宋体" w:hAnsi="宋体" w:cs="宋体"/>
          <w:sz w:val="24"/>
        </w:rPr>
        <w:t>3.4每两月进行一次检查是否能报警至监控中心。</w:t>
      </w:r>
    </w:p>
    <w:p>
      <w:pPr>
        <w:spacing w:line="360" w:lineRule="auto"/>
        <w:ind w:right="26" w:firstLine="480" w:firstLineChars="200"/>
        <w:rPr>
          <w:rFonts w:ascii="宋体" w:hAnsi="宋体" w:cs="宋体"/>
          <w:bCs/>
          <w:sz w:val="24"/>
        </w:rPr>
      </w:pPr>
      <w:r>
        <w:rPr>
          <w:rFonts w:hint="eastAsia" w:ascii="宋体" w:hAnsi="宋体" w:cs="宋体"/>
          <w:bCs/>
          <w:sz w:val="24"/>
        </w:rPr>
        <w:t>4、无线对讲系统的维护保养</w:t>
      </w:r>
    </w:p>
    <w:p>
      <w:pPr>
        <w:spacing w:line="360" w:lineRule="auto"/>
        <w:ind w:right="26" w:firstLine="480" w:firstLineChars="200"/>
        <w:rPr>
          <w:rFonts w:ascii="宋体" w:hAnsi="宋体" w:cs="宋体"/>
          <w:sz w:val="24"/>
        </w:rPr>
      </w:pPr>
      <w:r>
        <w:rPr>
          <w:rFonts w:hint="eastAsia" w:ascii="宋体" w:hAnsi="宋体" w:cs="宋体"/>
          <w:sz w:val="24"/>
        </w:rPr>
        <w:t>4.1每月检查前端设备天线、耦合器等是否松动。</w:t>
      </w:r>
    </w:p>
    <w:p>
      <w:pPr>
        <w:spacing w:line="360" w:lineRule="auto"/>
        <w:ind w:right="26" w:firstLine="480" w:firstLineChars="200"/>
        <w:rPr>
          <w:rFonts w:ascii="宋体" w:hAnsi="宋体" w:cs="宋体"/>
          <w:sz w:val="24"/>
        </w:rPr>
      </w:pPr>
      <w:r>
        <w:rPr>
          <w:rFonts w:hint="eastAsia" w:ascii="宋体" w:hAnsi="宋体" w:cs="宋体"/>
          <w:sz w:val="24"/>
        </w:rPr>
        <w:t>4.2每月检查干线放大器、双工器、接收分路器等设备供电是否正常。</w:t>
      </w:r>
    </w:p>
    <w:p>
      <w:pPr>
        <w:spacing w:line="360" w:lineRule="auto"/>
        <w:ind w:right="26" w:firstLine="480" w:firstLineChars="200"/>
        <w:rPr>
          <w:rFonts w:ascii="宋体" w:hAnsi="宋体" w:cs="宋体"/>
          <w:sz w:val="24"/>
        </w:rPr>
      </w:pPr>
      <w:r>
        <w:rPr>
          <w:rFonts w:hint="eastAsia" w:ascii="宋体" w:hAnsi="宋体" w:cs="宋体"/>
          <w:sz w:val="24"/>
        </w:rPr>
        <w:t>4.3每月检查室外天线与同轴电缆连接是否松动。</w:t>
      </w:r>
    </w:p>
    <w:p>
      <w:pPr>
        <w:spacing w:line="360" w:lineRule="auto"/>
        <w:ind w:right="26" w:firstLine="480" w:firstLineChars="200"/>
        <w:rPr>
          <w:rFonts w:ascii="宋体" w:hAnsi="宋体" w:cs="宋体"/>
          <w:sz w:val="24"/>
        </w:rPr>
      </w:pPr>
      <w:r>
        <w:rPr>
          <w:rFonts w:hint="eastAsia" w:ascii="宋体" w:hAnsi="宋体" w:cs="宋体"/>
          <w:sz w:val="24"/>
        </w:rPr>
        <w:t>4.4每月检查对讲机灵敏度及对讲机的天线是否松动，对讲机的充电器是否正常。</w:t>
      </w:r>
    </w:p>
    <w:p>
      <w:pPr>
        <w:spacing w:line="360" w:lineRule="auto"/>
        <w:ind w:right="26" w:firstLine="480" w:firstLineChars="200"/>
        <w:rPr>
          <w:bCs/>
          <w:sz w:val="24"/>
        </w:rPr>
      </w:pPr>
      <w:r>
        <w:rPr>
          <w:rFonts w:hint="eastAsia"/>
          <w:bCs/>
          <w:sz w:val="24"/>
        </w:rPr>
        <w:t>5</w:t>
      </w:r>
      <w:r>
        <w:rPr>
          <w:bCs/>
          <w:sz w:val="24"/>
        </w:rPr>
        <w:t>、楼宇自控系统</w:t>
      </w:r>
      <w:r>
        <w:rPr>
          <w:rFonts w:hint="eastAsia"/>
          <w:bCs/>
          <w:sz w:val="24"/>
        </w:rPr>
        <w:t>（BA）</w:t>
      </w:r>
      <w:r>
        <w:rPr>
          <w:bCs/>
          <w:sz w:val="24"/>
        </w:rPr>
        <w:t>的维护保养</w:t>
      </w:r>
    </w:p>
    <w:p>
      <w:pPr>
        <w:spacing w:line="360" w:lineRule="auto"/>
        <w:ind w:right="26" w:firstLine="480" w:firstLineChars="200"/>
        <w:rPr>
          <w:sz w:val="24"/>
        </w:rPr>
      </w:pPr>
      <w:r>
        <w:rPr>
          <w:sz w:val="24"/>
        </w:rPr>
        <w:t>为了确保中央工作站对系统所监控设备的实时监控的可靠性,现场维护人员查看中央监控系统运行状况,检查软、硬件,抄录驻留系统参数、系统配置和运行数据的备份并加以分析,根据分析结果, 提出并实施解决方案,以避免系统出现不可预见的重大事故。具体内容如下：</w:t>
      </w:r>
    </w:p>
    <w:p>
      <w:pPr>
        <w:spacing w:line="360" w:lineRule="auto"/>
        <w:ind w:right="26" w:firstLine="480" w:firstLineChars="200"/>
        <w:rPr>
          <w:sz w:val="24"/>
        </w:rPr>
      </w:pPr>
      <w:r>
        <w:rPr>
          <w:rFonts w:hint="eastAsia"/>
          <w:sz w:val="24"/>
        </w:rPr>
        <w:t>5.1</w:t>
      </w:r>
      <w:r>
        <w:rPr>
          <w:sz w:val="24"/>
        </w:rPr>
        <w:t>每月对计算机设备系统进行除尘清洁;</w:t>
      </w:r>
    </w:p>
    <w:p>
      <w:pPr>
        <w:spacing w:line="360" w:lineRule="auto"/>
        <w:ind w:right="26" w:firstLine="480" w:firstLineChars="200"/>
        <w:rPr>
          <w:sz w:val="24"/>
        </w:rPr>
      </w:pPr>
      <w:r>
        <w:rPr>
          <w:rFonts w:hint="eastAsia"/>
          <w:sz w:val="24"/>
        </w:rPr>
        <w:t>5.2</w:t>
      </w:r>
      <w:r>
        <w:rPr>
          <w:sz w:val="24"/>
        </w:rPr>
        <w:t>每周检查系统软件的完整与运行状况;</w:t>
      </w:r>
    </w:p>
    <w:p>
      <w:pPr>
        <w:spacing w:line="360" w:lineRule="auto"/>
        <w:ind w:right="26" w:firstLine="480" w:firstLineChars="200"/>
        <w:rPr>
          <w:sz w:val="24"/>
        </w:rPr>
      </w:pPr>
      <w:r>
        <w:rPr>
          <w:rFonts w:hint="eastAsia"/>
          <w:sz w:val="24"/>
        </w:rPr>
        <w:t>5.3</w:t>
      </w:r>
      <w:r>
        <w:rPr>
          <w:sz w:val="24"/>
        </w:rPr>
        <w:t>重要设备运行数据、运行参数和性能信息等数据进行备份、抄录;</w:t>
      </w:r>
    </w:p>
    <w:p>
      <w:pPr>
        <w:spacing w:line="360" w:lineRule="auto"/>
        <w:ind w:right="26" w:firstLine="480" w:firstLineChars="200"/>
        <w:rPr>
          <w:sz w:val="24"/>
        </w:rPr>
      </w:pPr>
      <w:r>
        <w:rPr>
          <w:rFonts w:hint="eastAsia"/>
          <w:sz w:val="24"/>
        </w:rPr>
        <w:t>5.4</w:t>
      </w:r>
      <w:r>
        <w:rPr>
          <w:sz w:val="24"/>
        </w:rPr>
        <w:t>每</w:t>
      </w:r>
      <w:r>
        <w:rPr>
          <w:rFonts w:hint="eastAsia"/>
          <w:sz w:val="24"/>
        </w:rPr>
        <w:t>月</w:t>
      </w:r>
      <w:r>
        <w:rPr>
          <w:sz w:val="24"/>
        </w:rPr>
        <w:t>检查网络接口单元硬件的完整性;</w:t>
      </w:r>
    </w:p>
    <w:p>
      <w:pPr>
        <w:spacing w:line="360" w:lineRule="auto"/>
        <w:ind w:right="26" w:firstLine="480" w:firstLineChars="200"/>
        <w:rPr>
          <w:sz w:val="24"/>
        </w:rPr>
      </w:pPr>
      <w:r>
        <w:rPr>
          <w:rFonts w:hint="eastAsia"/>
          <w:sz w:val="24"/>
        </w:rPr>
        <w:t>5.5</w:t>
      </w:r>
      <w:r>
        <w:rPr>
          <w:sz w:val="24"/>
        </w:rPr>
        <w:t>确保计算机同控制系统时间同步;</w:t>
      </w:r>
    </w:p>
    <w:p>
      <w:pPr>
        <w:spacing w:line="360" w:lineRule="auto"/>
        <w:ind w:right="26" w:firstLine="480" w:firstLineChars="200"/>
        <w:rPr>
          <w:sz w:val="24"/>
        </w:rPr>
      </w:pPr>
      <w:r>
        <w:rPr>
          <w:rFonts w:hint="eastAsia"/>
          <w:sz w:val="24"/>
        </w:rPr>
        <w:t>5.6</w:t>
      </w:r>
      <w:r>
        <w:rPr>
          <w:sz w:val="24"/>
        </w:rPr>
        <w:t>优化控制过程,根据设备运行现存问题,修改控制方式。</w:t>
      </w:r>
    </w:p>
    <w:p>
      <w:pPr>
        <w:spacing w:line="360" w:lineRule="auto"/>
        <w:ind w:right="26" w:firstLine="480" w:firstLineChars="200"/>
        <w:rPr>
          <w:sz w:val="24"/>
        </w:rPr>
      </w:pPr>
      <w:r>
        <w:rPr>
          <w:rFonts w:hint="eastAsia"/>
          <w:sz w:val="24"/>
        </w:rPr>
        <w:t>6、</w:t>
      </w:r>
      <w:r>
        <w:rPr>
          <w:sz w:val="24"/>
        </w:rPr>
        <w:t>现场控制器及辅助控制箱的维护保养</w:t>
      </w:r>
    </w:p>
    <w:p>
      <w:pPr>
        <w:spacing w:line="360" w:lineRule="auto"/>
        <w:ind w:right="26" w:firstLine="480" w:firstLineChars="200"/>
        <w:rPr>
          <w:sz w:val="24"/>
        </w:rPr>
      </w:pPr>
      <w:r>
        <w:rPr>
          <w:sz w:val="24"/>
        </w:rPr>
        <w:t>为确保系统的连续安全运行, 现场维护人员对现场控制器的控制性能进行检查, 其目的在于保证建筑物内环境的舒适度, 最大限度降低能耗和监控设备控制策略的全面实施。</w:t>
      </w:r>
    </w:p>
    <w:p>
      <w:pPr>
        <w:spacing w:line="360" w:lineRule="auto"/>
        <w:ind w:right="26" w:firstLine="480" w:firstLineChars="200"/>
        <w:rPr>
          <w:sz w:val="24"/>
        </w:rPr>
      </w:pPr>
      <w:r>
        <w:rPr>
          <w:rFonts w:hint="eastAsia"/>
          <w:sz w:val="24"/>
        </w:rPr>
        <w:t>6.1</w:t>
      </w:r>
      <w:r>
        <w:rPr>
          <w:sz w:val="24"/>
        </w:rPr>
        <w:t>每月对控制器及辅助控制箱内所有元器件进行除尘保养。</w:t>
      </w:r>
    </w:p>
    <w:p>
      <w:pPr>
        <w:spacing w:line="360" w:lineRule="auto"/>
        <w:ind w:right="26" w:firstLine="480" w:firstLineChars="200"/>
        <w:rPr>
          <w:sz w:val="24"/>
        </w:rPr>
      </w:pPr>
      <w:r>
        <w:rPr>
          <w:rFonts w:hint="eastAsia"/>
          <w:sz w:val="24"/>
        </w:rPr>
        <w:t>6.2</w:t>
      </w:r>
      <w:r>
        <w:rPr>
          <w:sz w:val="24"/>
        </w:rPr>
        <w:t>每</w:t>
      </w:r>
      <w:r>
        <w:rPr>
          <w:rFonts w:hint="eastAsia"/>
          <w:sz w:val="24"/>
        </w:rPr>
        <w:t>月</w:t>
      </w:r>
      <w:r>
        <w:rPr>
          <w:sz w:val="24"/>
        </w:rPr>
        <w:t>检查现场控制器指示灯是否正常、控制器是否工作在正常状态。</w:t>
      </w:r>
    </w:p>
    <w:p>
      <w:pPr>
        <w:spacing w:line="360" w:lineRule="auto"/>
        <w:ind w:right="26" w:firstLine="480" w:firstLineChars="200"/>
        <w:rPr>
          <w:sz w:val="24"/>
        </w:rPr>
      </w:pPr>
      <w:r>
        <w:rPr>
          <w:rFonts w:hint="eastAsia"/>
          <w:sz w:val="24"/>
        </w:rPr>
        <w:t>6.3</w:t>
      </w:r>
      <w:r>
        <w:rPr>
          <w:sz w:val="24"/>
        </w:rPr>
        <w:t>每</w:t>
      </w:r>
      <w:r>
        <w:rPr>
          <w:rFonts w:hint="eastAsia"/>
          <w:sz w:val="24"/>
        </w:rPr>
        <w:t>月</w:t>
      </w:r>
      <w:r>
        <w:rPr>
          <w:sz w:val="24"/>
        </w:rPr>
        <w:t>检查控制器及辅助控制箱内所有接线是否松动。</w:t>
      </w:r>
    </w:p>
    <w:p>
      <w:pPr>
        <w:spacing w:line="360" w:lineRule="auto"/>
        <w:ind w:right="26" w:firstLine="480" w:firstLineChars="200"/>
        <w:rPr>
          <w:sz w:val="24"/>
        </w:rPr>
      </w:pPr>
      <w:r>
        <w:rPr>
          <w:rFonts w:hint="eastAsia"/>
          <w:sz w:val="24"/>
        </w:rPr>
        <w:t>6.4</w:t>
      </w:r>
      <w:r>
        <w:rPr>
          <w:sz w:val="24"/>
        </w:rPr>
        <w:t>每</w:t>
      </w:r>
      <w:r>
        <w:rPr>
          <w:rFonts w:hint="eastAsia"/>
          <w:sz w:val="24"/>
        </w:rPr>
        <w:t>月</w:t>
      </w:r>
      <w:r>
        <w:rPr>
          <w:sz w:val="24"/>
        </w:rPr>
        <w:t>检查每个控制器测试其监控效果。</w:t>
      </w:r>
    </w:p>
    <w:p>
      <w:pPr>
        <w:spacing w:line="360" w:lineRule="auto"/>
        <w:ind w:right="26" w:firstLine="480" w:firstLineChars="200"/>
        <w:rPr>
          <w:sz w:val="24"/>
        </w:rPr>
      </w:pPr>
      <w:r>
        <w:rPr>
          <w:rFonts w:hint="eastAsia"/>
          <w:sz w:val="24"/>
        </w:rPr>
        <w:t>6.5</w:t>
      </w:r>
      <w:r>
        <w:rPr>
          <w:sz w:val="24"/>
        </w:rPr>
        <w:t>每月检查控制回路的精度和稳定性能,根据设备实际运行工作状况的需要,调节 PID参数,使控制质量达到最佳效果。</w:t>
      </w:r>
    </w:p>
    <w:p>
      <w:pPr>
        <w:spacing w:line="360" w:lineRule="auto"/>
        <w:ind w:right="26" w:firstLine="480" w:firstLineChars="200"/>
        <w:rPr>
          <w:sz w:val="24"/>
        </w:rPr>
      </w:pPr>
      <w:r>
        <w:rPr>
          <w:rFonts w:hint="eastAsia"/>
          <w:sz w:val="24"/>
        </w:rPr>
        <w:t>6.6</w:t>
      </w:r>
      <w:r>
        <w:rPr>
          <w:sz w:val="24"/>
        </w:rPr>
        <w:t>每</w:t>
      </w:r>
      <w:r>
        <w:rPr>
          <w:rFonts w:hint="eastAsia"/>
          <w:sz w:val="24"/>
        </w:rPr>
        <w:t>月</w:t>
      </w:r>
      <w:r>
        <w:rPr>
          <w:sz w:val="24"/>
        </w:rPr>
        <w:t>检查报警功能和路径设置,确保发生报警时,其操作正常无误。</w:t>
      </w:r>
    </w:p>
    <w:p>
      <w:pPr>
        <w:spacing w:line="360" w:lineRule="auto"/>
        <w:ind w:right="26" w:firstLine="480" w:firstLineChars="200"/>
        <w:rPr>
          <w:sz w:val="24"/>
        </w:rPr>
      </w:pPr>
      <w:r>
        <w:rPr>
          <w:rFonts w:hint="eastAsia"/>
          <w:sz w:val="24"/>
        </w:rPr>
        <w:t>6.7</w:t>
      </w:r>
      <w:r>
        <w:rPr>
          <w:sz w:val="24"/>
        </w:rPr>
        <w:t>每月带有可校正的模拟输入点的精度。</w:t>
      </w:r>
    </w:p>
    <w:p>
      <w:pPr>
        <w:spacing w:line="360" w:lineRule="auto"/>
        <w:ind w:right="26" w:firstLine="480" w:firstLineChars="200"/>
        <w:rPr>
          <w:sz w:val="24"/>
        </w:rPr>
      </w:pPr>
      <w:r>
        <w:rPr>
          <w:rFonts w:hint="eastAsia"/>
          <w:sz w:val="24"/>
        </w:rPr>
        <w:t>7、</w:t>
      </w:r>
      <w:r>
        <w:rPr>
          <w:sz w:val="24"/>
        </w:rPr>
        <w:t>系统主控器的维护保养</w:t>
      </w:r>
    </w:p>
    <w:p>
      <w:pPr>
        <w:spacing w:line="360" w:lineRule="auto"/>
        <w:ind w:right="26" w:firstLine="480" w:firstLineChars="200"/>
        <w:rPr>
          <w:b/>
          <w:sz w:val="24"/>
        </w:rPr>
      </w:pPr>
      <w:r>
        <w:rPr>
          <w:sz w:val="24"/>
        </w:rPr>
        <w:t>为了确保系统主控器的正常工作, 现场维护人员对系统主控器功能进行检查,其目的为使中央监控终端通过系统主控器与各子系统实时通讯,保证被监控设备控制策略的全面实施。</w:t>
      </w:r>
    </w:p>
    <w:p>
      <w:pPr>
        <w:spacing w:line="360" w:lineRule="auto"/>
        <w:ind w:right="26" w:firstLine="480" w:firstLineChars="200"/>
        <w:rPr>
          <w:sz w:val="24"/>
        </w:rPr>
      </w:pPr>
      <w:r>
        <w:rPr>
          <w:rFonts w:hint="eastAsia"/>
          <w:sz w:val="24"/>
        </w:rPr>
        <w:t>7.</w:t>
      </w:r>
      <w:r>
        <w:rPr>
          <w:sz w:val="24"/>
        </w:rPr>
        <w:t>每</w:t>
      </w:r>
      <w:r>
        <w:rPr>
          <w:rFonts w:hint="eastAsia"/>
          <w:sz w:val="24"/>
        </w:rPr>
        <w:t>月</w:t>
      </w:r>
      <w:r>
        <w:rPr>
          <w:sz w:val="24"/>
        </w:rPr>
        <w:t>检查主控器的工作是否正常。</w:t>
      </w:r>
    </w:p>
    <w:p>
      <w:pPr>
        <w:spacing w:line="360" w:lineRule="auto"/>
        <w:ind w:right="26" w:firstLine="480" w:firstLineChars="200"/>
        <w:rPr>
          <w:sz w:val="24"/>
        </w:rPr>
      </w:pPr>
      <w:r>
        <w:rPr>
          <w:rFonts w:hint="eastAsia"/>
          <w:sz w:val="24"/>
        </w:rPr>
        <w:t>7.1</w:t>
      </w:r>
      <w:r>
        <w:rPr>
          <w:sz w:val="24"/>
        </w:rPr>
        <w:t>每月检验最终控制设备的控制策略和状态,以判断有关的状态和命令的响应的正确性。</w:t>
      </w:r>
    </w:p>
    <w:p>
      <w:pPr>
        <w:spacing w:line="360" w:lineRule="auto"/>
        <w:ind w:right="26" w:firstLine="480" w:firstLineChars="200"/>
        <w:rPr>
          <w:sz w:val="24"/>
        </w:rPr>
      </w:pPr>
      <w:r>
        <w:rPr>
          <w:rFonts w:hint="eastAsia"/>
          <w:sz w:val="24"/>
        </w:rPr>
        <w:t>7.2</w:t>
      </w:r>
      <w:r>
        <w:rPr>
          <w:sz w:val="24"/>
        </w:rPr>
        <w:t>每</w:t>
      </w:r>
      <w:r>
        <w:rPr>
          <w:rFonts w:hint="eastAsia"/>
          <w:sz w:val="24"/>
        </w:rPr>
        <w:t>月</w:t>
      </w:r>
      <w:r>
        <w:rPr>
          <w:sz w:val="24"/>
        </w:rPr>
        <w:t>检查报警功能和路径设置,确保发生报警时其操作正确无误。</w:t>
      </w:r>
    </w:p>
    <w:p>
      <w:pPr>
        <w:spacing w:line="360" w:lineRule="auto"/>
        <w:ind w:right="26" w:firstLine="480" w:firstLineChars="200"/>
        <w:rPr>
          <w:sz w:val="24"/>
        </w:rPr>
      </w:pPr>
      <w:r>
        <w:rPr>
          <w:rFonts w:hint="eastAsia"/>
          <w:sz w:val="24"/>
        </w:rPr>
        <w:t>8、</w:t>
      </w:r>
      <w:r>
        <w:rPr>
          <w:sz w:val="24"/>
        </w:rPr>
        <w:t>现场传感器和执行器的维护保养</w:t>
      </w:r>
    </w:p>
    <w:p>
      <w:pPr>
        <w:spacing w:line="360" w:lineRule="auto"/>
        <w:ind w:right="26" w:firstLine="480" w:firstLineChars="200"/>
        <w:rPr>
          <w:sz w:val="24"/>
        </w:rPr>
      </w:pPr>
      <w:r>
        <w:rPr>
          <w:rFonts w:hint="eastAsia"/>
          <w:sz w:val="24"/>
        </w:rPr>
        <w:t>8.1</w:t>
      </w:r>
      <w:r>
        <w:rPr>
          <w:sz w:val="24"/>
        </w:rPr>
        <w:t>每月对现场传感器的精度进行校对。每年冬季加强对防冻开关的检测工作。</w:t>
      </w:r>
    </w:p>
    <w:p>
      <w:pPr>
        <w:spacing w:line="360" w:lineRule="auto"/>
        <w:ind w:right="26" w:firstLine="480" w:firstLineChars="200"/>
        <w:rPr>
          <w:sz w:val="24"/>
        </w:rPr>
      </w:pPr>
      <w:r>
        <w:rPr>
          <w:rFonts w:hint="eastAsia"/>
          <w:sz w:val="24"/>
        </w:rPr>
        <w:t>8.2</w:t>
      </w:r>
      <w:r>
        <w:rPr>
          <w:sz w:val="24"/>
        </w:rPr>
        <w:t>每</w:t>
      </w:r>
      <w:r>
        <w:rPr>
          <w:rFonts w:hint="eastAsia"/>
          <w:sz w:val="24"/>
        </w:rPr>
        <w:t>月</w:t>
      </w:r>
      <w:r>
        <w:rPr>
          <w:sz w:val="24"/>
        </w:rPr>
        <w:t>对现场执行器的调节性能进行测试与调节。</w:t>
      </w:r>
    </w:p>
    <w:p>
      <w:pPr>
        <w:spacing w:line="360" w:lineRule="auto"/>
        <w:ind w:right="26" w:firstLine="480" w:firstLineChars="200"/>
        <w:rPr>
          <w:sz w:val="24"/>
        </w:rPr>
      </w:pPr>
      <w:r>
        <w:rPr>
          <w:rFonts w:hint="eastAsia"/>
          <w:sz w:val="24"/>
        </w:rPr>
        <w:t>8.3</w:t>
      </w:r>
      <w:r>
        <w:rPr>
          <w:sz w:val="24"/>
        </w:rPr>
        <w:t>结合现场DDC（现场控制器）的检查,通过DDC手动调校相应的现场设备对经常损坏的设备分析查明其损坏的原因,提出解决方法。</w:t>
      </w:r>
    </w:p>
    <w:p>
      <w:pPr>
        <w:spacing w:line="360" w:lineRule="auto"/>
        <w:ind w:right="26" w:firstLine="480" w:firstLineChars="200"/>
        <w:rPr>
          <w:sz w:val="24"/>
        </w:rPr>
      </w:pPr>
      <w:r>
        <w:rPr>
          <w:rFonts w:hint="eastAsia"/>
          <w:sz w:val="24"/>
        </w:rPr>
        <w:t>8.4</w:t>
      </w:r>
      <w:r>
        <w:rPr>
          <w:sz w:val="24"/>
        </w:rPr>
        <w:t>温度传感器的检查:清洁、查巡及调校现场温度传感器（室内温度传感器、室外温度传感器、风道温度传感器、水温传感器、室内温湿度传感器） 查看其测量温度是否合理,对于需要修订的点进行参数修订补偿。</w:t>
      </w:r>
    </w:p>
    <w:p>
      <w:pPr>
        <w:spacing w:line="360" w:lineRule="auto"/>
        <w:ind w:right="26" w:firstLine="480" w:firstLineChars="200"/>
        <w:rPr>
          <w:sz w:val="24"/>
        </w:rPr>
      </w:pPr>
      <w:r>
        <w:rPr>
          <w:rFonts w:hint="eastAsia"/>
          <w:sz w:val="24"/>
        </w:rPr>
        <w:t>8.5</w:t>
      </w:r>
      <w:r>
        <w:rPr>
          <w:sz w:val="24"/>
        </w:rPr>
        <w:t>对各状态点、报警点的设备（低温防冻报警器、压差开关、水监视传感器等）, 查看该设备所引起的逻辑动作是否有效,发现问题及时修改。</w:t>
      </w:r>
    </w:p>
    <w:p>
      <w:pPr>
        <w:spacing w:line="360" w:lineRule="auto"/>
        <w:ind w:right="26" w:firstLine="480" w:firstLineChars="200"/>
        <w:rPr>
          <w:sz w:val="24"/>
        </w:rPr>
      </w:pPr>
      <w:r>
        <w:rPr>
          <w:rFonts w:hint="eastAsia"/>
          <w:sz w:val="24"/>
        </w:rPr>
        <w:t>8.6</w:t>
      </w:r>
      <w:r>
        <w:rPr>
          <w:sz w:val="24"/>
        </w:rPr>
        <w:t>电动阀门的调校（风阀执行器和水阀执行器）:手动调节阀门,检查其动作是否准确,</w:t>
      </w:r>
    </w:p>
    <w:p>
      <w:pPr>
        <w:spacing w:line="360" w:lineRule="auto"/>
        <w:ind w:right="26" w:firstLine="480" w:firstLineChars="200"/>
        <w:rPr>
          <w:sz w:val="24"/>
        </w:rPr>
      </w:pPr>
      <w:r>
        <w:rPr>
          <w:rFonts w:hint="eastAsia"/>
          <w:sz w:val="24"/>
        </w:rPr>
        <w:t>8.7</w:t>
      </w:r>
      <w:r>
        <w:rPr>
          <w:sz w:val="24"/>
        </w:rPr>
        <w:t>调整其零点,机械部分加润滑油。自动状态下与楼宇自控系统发出的指令信号是否一致</w:t>
      </w:r>
    </w:p>
    <w:p>
      <w:pPr>
        <w:spacing w:line="360" w:lineRule="auto"/>
        <w:ind w:right="26" w:firstLine="480" w:firstLineChars="200"/>
        <w:rPr>
          <w:sz w:val="24"/>
        </w:rPr>
      </w:pPr>
      <w:r>
        <w:rPr>
          <w:rFonts w:hint="eastAsia"/>
          <w:sz w:val="24"/>
        </w:rPr>
        <w:t>8.8</w:t>
      </w:r>
      <w:r>
        <w:rPr>
          <w:sz w:val="24"/>
        </w:rPr>
        <w:t>维修期间解决业主操作人员对系统提出的问题。</w:t>
      </w:r>
    </w:p>
    <w:p>
      <w:pPr>
        <w:spacing w:line="360" w:lineRule="auto"/>
        <w:ind w:right="26" w:firstLine="480" w:firstLineChars="200"/>
        <w:rPr>
          <w:sz w:val="24"/>
        </w:rPr>
      </w:pPr>
      <w:r>
        <w:rPr>
          <w:rFonts w:hint="eastAsia"/>
          <w:sz w:val="24"/>
        </w:rPr>
        <w:t>8.9</w:t>
      </w:r>
      <w:r>
        <w:rPr>
          <w:sz w:val="24"/>
        </w:rPr>
        <w:t>进行不可预见的维修等。</w:t>
      </w:r>
    </w:p>
    <w:p>
      <w:pPr>
        <w:spacing w:line="360" w:lineRule="auto"/>
        <w:ind w:right="26"/>
        <w:rPr>
          <w:sz w:val="24"/>
        </w:rPr>
      </w:pPr>
      <w:r>
        <w:rPr>
          <w:rFonts w:hint="eastAsia"/>
          <w:b/>
          <w:sz w:val="24"/>
        </w:rPr>
        <w:t>9、</w:t>
      </w:r>
      <w:r>
        <w:rPr>
          <w:sz w:val="24"/>
        </w:rPr>
        <w:t>楼宇自控系统各子项工作状态的检修保养</w:t>
      </w:r>
    </w:p>
    <w:p>
      <w:pPr>
        <w:spacing w:line="360" w:lineRule="auto"/>
        <w:ind w:right="26" w:firstLine="480" w:firstLineChars="200"/>
        <w:rPr>
          <w:sz w:val="24"/>
        </w:rPr>
      </w:pPr>
      <w:r>
        <w:rPr>
          <w:sz w:val="24"/>
        </w:rPr>
        <w:t>为保证楼宇自控内各子系统能够正常运转, 各项运转指标符合现场设备安全要求、环保节能要求的目标, 每月每季度对子系统进行各项运行参数及指标检查比对,发现问题及时改正。</w:t>
      </w:r>
    </w:p>
    <w:p>
      <w:pPr>
        <w:spacing w:line="360" w:lineRule="auto"/>
        <w:ind w:right="26" w:firstLine="480" w:firstLineChars="200"/>
        <w:rPr>
          <w:sz w:val="24"/>
        </w:rPr>
      </w:pPr>
      <w:r>
        <w:rPr>
          <w:rFonts w:hint="eastAsia"/>
          <w:sz w:val="24"/>
        </w:rPr>
        <w:t>9.1</w:t>
      </w:r>
      <w:r>
        <w:rPr>
          <w:sz w:val="24"/>
        </w:rPr>
        <w:t>新风系统：新风系统软件程序符合设计要求及现场工作要求,夏季和冬季运行前程序检查, 各控制信号输出正确、监视信号反馈与现场实际值偏差小于5%</w:t>
      </w:r>
    </w:p>
    <w:p>
      <w:pPr>
        <w:spacing w:line="360" w:lineRule="auto"/>
        <w:ind w:right="26" w:firstLine="480" w:firstLineChars="200"/>
        <w:rPr>
          <w:sz w:val="24"/>
        </w:rPr>
      </w:pPr>
      <w:r>
        <w:rPr>
          <w:rFonts w:hint="eastAsia"/>
          <w:sz w:val="24"/>
        </w:rPr>
        <w:t>9.2</w:t>
      </w:r>
      <w:r>
        <w:rPr>
          <w:sz w:val="24"/>
        </w:rPr>
        <w:t>给排水系统：检查程序的有效性,可以正常监视液位状态,正确启停污水泵。</w:t>
      </w:r>
    </w:p>
    <w:p>
      <w:pPr>
        <w:spacing w:line="360" w:lineRule="auto"/>
        <w:ind w:right="26" w:firstLine="480" w:firstLineChars="200"/>
        <w:rPr>
          <w:sz w:val="24"/>
        </w:rPr>
      </w:pPr>
      <w:r>
        <w:rPr>
          <w:rFonts w:hint="eastAsia"/>
          <w:sz w:val="24"/>
        </w:rPr>
        <w:t>9.3</w:t>
      </w:r>
      <w:r>
        <w:rPr>
          <w:sz w:val="24"/>
        </w:rPr>
        <w:t>冷冻系统：检查冷冻系统的各项监视参数,检查程序的有效性,保证系统监视各项参数与现场值无偏差。</w:t>
      </w:r>
    </w:p>
    <w:p>
      <w:pPr>
        <w:spacing w:line="360" w:lineRule="auto"/>
        <w:ind w:right="26" w:firstLine="480" w:firstLineChars="200"/>
        <w:rPr>
          <w:sz w:val="24"/>
        </w:rPr>
      </w:pPr>
      <w:r>
        <w:rPr>
          <w:sz w:val="24"/>
        </w:rPr>
        <w:t>每次例行维保结束后,做出书面维保报告,对系统目前运行状况进行汇报,并提出系统完善和改造建议。</w:t>
      </w:r>
    </w:p>
    <w:p>
      <w:pPr>
        <w:spacing w:line="360" w:lineRule="auto"/>
        <w:ind w:right="26"/>
        <w:rPr>
          <w:bCs/>
          <w:sz w:val="24"/>
        </w:rPr>
      </w:pPr>
      <w:r>
        <w:rPr>
          <w:rFonts w:hint="eastAsia"/>
          <w:bCs/>
          <w:sz w:val="24"/>
        </w:rPr>
        <w:t>10、智能照明</w:t>
      </w:r>
      <w:r>
        <w:rPr>
          <w:bCs/>
          <w:sz w:val="24"/>
        </w:rPr>
        <w:t>系统的维护保养</w:t>
      </w:r>
    </w:p>
    <w:p>
      <w:pPr>
        <w:spacing w:line="360" w:lineRule="auto"/>
        <w:ind w:right="26" w:firstLine="480" w:firstLineChars="200"/>
        <w:rPr>
          <w:sz w:val="24"/>
        </w:rPr>
      </w:pPr>
      <w:r>
        <w:rPr>
          <w:rFonts w:hint="eastAsia"/>
          <w:sz w:val="24"/>
        </w:rPr>
        <w:t>10.1</w:t>
      </w:r>
      <w:r>
        <w:rPr>
          <w:sz w:val="24"/>
        </w:rPr>
        <w:t>检查</w:t>
      </w:r>
      <w:r>
        <w:rPr>
          <w:rFonts w:hint="eastAsia"/>
          <w:sz w:val="24"/>
        </w:rPr>
        <w:t>照明</w:t>
      </w:r>
      <w:r>
        <w:rPr>
          <w:sz w:val="24"/>
        </w:rPr>
        <w:t>系统的前端设备，</w:t>
      </w:r>
      <w:r>
        <w:rPr>
          <w:rFonts w:hint="eastAsia"/>
          <w:sz w:val="24"/>
        </w:rPr>
        <w:t>灯控面板</w:t>
      </w:r>
      <w:r>
        <w:rPr>
          <w:sz w:val="24"/>
        </w:rPr>
        <w:t>：对</w:t>
      </w:r>
      <w:r>
        <w:rPr>
          <w:rFonts w:hint="eastAsia"/>
          <w:sz w:val="24"/>
        </w:rPr>
        <w:t>灯控面板</w:t>
      </w:r>
      <w:r>
        <w:rPr>
          <w:sz w:val="24"/>
        </w:rPr>
        <w:t>的灵敏度进行测试。</w:t>
      </w:r>
    </w:p>
    <w:p>
      <w:pPr>
        <w:spacing w:line="360" w:lineRule="auto"/>
        <w:ind w:right="26" w:firstLine="480" w:firstLineChars="200"/>
        <w:rPr>
          <w:sz w:val="24"/>
        </w:rPr>
      </w:pPr>
      <w:r>
        <w:rPr>
          <w:rFonts w:hint="eastAsia"/>
          <w:sz w:val="24"/>
        </w:rPr>
        <w:t>10.2灯控模块</w:t>
      </w:r>
      <w:r>
        <w:rPr>
          <w:sz w:val="24"/>
        </w:rPr>
        <w:t>：</w:t>
      </w:r>
      <w:r>
        <w:rPr>
          <w:rFonts w:hint="eastAsia"/>
          <w:sz w:val="24"/>
        </w:rPr>
        <w:t>灯控模块</w:t>
      </w:r>
      <w:r>
        <w:rPr>
          <w:sz w:val="24"/>
        </w:rPr>
        <w:t>对</w:t>
      </w:r>
      <w:r>
        <w:rPr>
          <w:rFonts w:hint="eastAsia"/>
          <w:sz w:val="24"/>
        </w:rPr>
        <w:t>灯控面板</w:t>
      </w:r>
      <w:r>
        <w:rPr>
          <w:sz w:val="24"/>
        </w:rPr>
        <w:t>的电源电压是否正常。</w:t>
      </w:r>
    </w:p>
    <w:p>
      <w:pPr>
        <w:spacing w:line="360" w:lineRule="auto"/>
        <w:ind w:right="26" w:firstLine="480" w:firstLineChars="200"/>
        <w:rPr>
          <w:sz w:val="24"/>
        </w:rPr>
      </w:pPr>
      <w:r>
        <w:rPr>
          <w:rFonts w:hint="eastAsia"/>
          <w:sz w:val="24"/>
        </w:rPr>
        <w:t>10.3</w:t>
      </w:r>
      <w:r>
        <w:rPr>
          <w:sz w:val="24"/>
        </w:rPr>
        <w:t>联网控制器：联网功能正常调节，测试与服务器通讯是否正常。</w:t>
      </w:r>
    </w:p>
    <w:p>
      <w:pPr>
        <w:spacing w:line="360" w:lineRule="auto"/>
        <w:ind w:right="26" w:firstLine="480" w:firstLineChars="200"/>
        <w:rPr>
          <w:sz w:val="24"/>
        </w:rPr>
      </w:pPr>
      <w:r>
        <w:rPr>
          <w:rFonts w:hint="eastAsia"/>
          <w:sz w:val="24"/>
        </w:rPr>
        <w:t>10.4</w:t>
      </w:r>
      <w:r>
        <w:rPr>
          <w:sz w:val="24"/>
        </w:rPr>
        <w:t>传输系统信号传输线路：线路连接状态，信号传输衰减，绝缘电阻大小，有无线路干扰，有无氧化。</w:t>
      </w:r>
    </w:p>
    <w:p>
      <w:pPr>
        <w:spacing w:line="360" w:lineRule="auto"/>
        <w:ind w:right="26" w:firstLine="480" w:firstLineChars="200"/>
        <w:rPr>
          <w:sz w:val="24"/>
        </w:rPr>
      </w:pPr>
      <w:r>
        <w:rPr>
          <w:rFonts w:hint="eastAsia"/>
          <w:sz w:val="24"/>
        </w:rPr>
        <w:t>10.5模块接口：模块和强电接口处是否有松动，测试送电是否稳定。</w:t>
      </w:r>
    </w:p>
    <w:p>
      <w:pPr>
        <w:pStyle w:val="2"/>
        <w:numPr>
          <w:ilvl w:val="0"/>
          <w:numId w:val="2"/>
        </w:numPr>
        <w:ind w:left="0" w:leftChars="0"/>
        <w:rPr>
          <w:rFonts w:ascii="宋体" w:hAnsi="宋体" w:cs="宋体"/>
          <w:sz w:val="24"/>
        </w:rPr>
      </w:pPr>
      <w:r>
        <w:rPr>
          <w:rFonts w:hint="eastAsia" w:ascii="宋体" w:hAnsi="宋体" w:cs="宋体"/>
          <w:sz w:val="24"/>
        </w:rPr>
        <w:t>门禁一卡通系统的维护保养</w:t>
      </w:r>
    </w:p>
    <w:p>
      <w:pPr>
        <w:spacing w:line="360" w:lineRule="auto"/>
        <w:ind w:right="26" w:firstLine="480" w:firstLineChars="200"/>
        <w:rPr>
          <w:rFonts w:ascii="宋体" w:hAnsi="宋体" w:cs="宋体"/>
          <w:sz w:val="24"/>
        </w:rPr>
      </w:pPr>
      <w:r>
        <w:rPr>
          <w:rFonts w:hint="eastAsia" w:ascii="宋体" w:hAnsi="宋体" w:cs="宋体"/>
          <w:sz w:val="24"/>
        </w:rPr>
        <w:t>为确保系统的连续安全稳定运行, 现场维护人员对门禁控制器的控制性能进行检查, 刷卡机、出门开关等关键设备进行检查、测试。以便保证门禁出入的安全控制、同时在紧急情况下能正常系统开启。</w:t>
      </w:r>
    </w:p>
    <w:p>
      <w:pPr>
        <w:spacing w:line="360" w:lineRule="auto"/>
        <w:ind w:right="26" w:firstLine="480" w:firstLineChars="200"/>
        <w:rPr>
          <w:rFonts w:ascii="宋体" w:hAnsi="宋体" w:cs="宋体"/>
          <w:sz w:val="24"/>
        </w:rPr>
      </w:pPr>
      <w:r>
        <w:rPr>
          <w:rFonts w:hint="eastAsia" w:ascii="宋体" w:hAnsi="宋体" w:cs="宋体"/>
          <w:sz w:val="24"/>
        </w:rPr>
        <w:t>11.1每月对门禁控制器及辅助控制箱内所有元器件进行除尘保养。</w:t>
      </w:r>
    </w:p>
    <w:p>
      <w:pPr>
        <w:spacing w:line="360" w:lineRule="auto"/>
        <w:ind w:right="26" w:firstLine="480" w:firstLineChars="200"/>
        <w:rPr>
          <w:rFonts w:ascii="宋体" w:hAnsi="宋体" w:cs="宋体"/>
          <w:sz w:val="24"/>
        </w:rPr>
      </w:pPr>
      <w:r>
        <w:rPr>
          <w:rFonts w:hint="eastAsia" w:ascii="宋体" w:hAnsi="宋体" w:cs="宋体"/>
          <w:sz w:val="24"/>
        </w:rPr>
        <w:t>11.2每月检查现场控制器指示灯是否正常、控制器是否工作在正常状态。</w:t>
      </w:r>
    </w:p>
    <w:p>
      <w:pPr>
        <w:spacing w:line="360" w:lineRule="auto"/>
        <w:ind w:right="26" w:firstLine="480" w:firstLineChars="200"/>
        <w:rPr>
          <w:rFonts w:ascii="宋体" w:hAnsi="宋体" w:cs="宋体"/>
          <w:sz w:val="24"/>
        </w:rPr>
      </w:pPr>
      <w:r>
        <w:rPr>
          <w:rFonts w:hint="eastAsia" w:ascii="宋体" w:hAnsi="宋体" w:cs="宋体"/>
          <w:sz w:val="24"/>
        </w:rPr>
        <w:t>11.3每月检查刷卡机反应是否灵敏是否正常。</w:t>
      </w:r>
    </w:p>
    <w:p>
      <w:pPr>
        <w:spacing w:line="360" w:lineRule="auto"/>
        <w:ind w:right="26" w:firstLine="480" w:firstLineChars="200"/>
        <w:rPr>
          <w:rFonts w:ascii="宋体" w:hAnsi="宋体" w:cs="宋体"/>
          <w:sz w:val="24"/>
        </w:rPr>
      </w:pPr>
      <w:r>
        <w:rPr>
          <w:rFonts w:hint="eastAsia" w:ascii="宋体" w:hAnsi="宋体" w:cs="宋体"/>
          <w:sz w:val="24"/>
        </w:rPr>
        <w:t>11.4每月检查出门开关是否正常是否有损坏。</w:t>
      </w:r>
    </w:p>
    <w:p>
      <w:pPr>
        <w:spacing w:line="360" w:lineRule="auto"/>
        <w:ind w:right="26" w:firstLine="480" w:firstLineChars="200"/>
        <w:rPr>
          <w:rFonts w:ascii="宋体" w:hAnsi="宋体" w:cs="宋体"/>
          <w:sz w:val="24"/>
        </w:rPr>
      </w:pPr>
      <w:r>
        <w:rPr>
          <w:rFonts w:hint="eastAsia" w:ascii="宋体" w:hAnsi="宋体" w:cs="宋体"/>
          <w:sz w:val="24"/>
        </w:rPr>
        <w:t>11.5每月检查电磁锁有无松动，吸力是否在正常范围。</w:t>
      </w:r>
    </w:p>
    <w:p>
      <w:pPr>
        <w:spacing w:line="360" w:lineRule="auto"/>
        <w:ind w:right="26" w:firstLine="480" w:firstLineChars="200"/>
        <w:rPr>
          <w:rFonts w:ascii="宋体" w:hAnsi="宋体" w:cs="宋体"/>
          <w:sz w:val="24"/>
        </w:rPr>
      </w:pPr>
      <w:r>
        <w:rPr>
          <w:rFonts w:hint="eastAsia" w:ascii="宋体" w:hAnsi="宋体" w:cs="宋体"/>
          <w:sz w:val="24"/>
        </w:rPr>
        <w:t>11.6每月检查系统平台软件远程操作是否正常、权限是否正常。</w:t>
      </w:r>
    </w:p>
    <w:p>
      <w:pPr>
        <w:spacing w:line="360" w:lineRule="auto"/>
        <w:ind w:right="26" w:firstLine="480" w:firstLineChars="200"/>
        <w:rPr>
          <w:rFonts w:ascii="宋体" w:hAnsi="宋体"/>
          <w:sz w:val="24"/>
        </w:rPr>
      </w:pPr>
      <w:r>
        <w:rPr>
          <w:rFonts w:hint="eastAsia"/>
          <w:sz w:val="24"/>
        </w:rPr>
        <w:t>(三) 系统改造</w:t>
      </w:r>
      <w:r>
        <w:rPr>
          <w:rFonts w:hint="eastAsia" w:ascii="宋体" w:hAnsi="宋体"/>
          <w:sz w:val="24"/>
        </w:rPr>
        <w:t>和升级</w:t>
      </w:r>
    </w:p>
    <w:p>
      <w:pPr>
        <w:pStyle w:val="39"/>
        <w:adjustRightInd w:val="0"/>
        <w:snapToGrid w:val="0"/>
        <w:spacing w:line="440" w:lineRule="exact"/>
        <w:ind w:firstLine="480"/>
        <w:rPr>
          <w:rFonts w:ascii="宋体" w:hAnsi="宋体"/>
          <w:sz w:val="24"/>
        </w:rPr>
      </w:pPr>
      <w:r>
        <w:rPr>
          <w:rFonts w:hint="eastAsia" w:ascii="宋体" w:hAnsi="宋体"/>
          <w:sz w:val="24"/>
        </w:rPr>
        <w:t>如</w:t>
      </w:r>
      <w:r>
        <w:rPr>
          <w:rFonts w:ascii="宋体" w:hAnsi="宋体"/>
          <w:sz w:val="24"/>
        </w:rPr>
        <w:t>遇</w:t>
      </w:r>
      <w:r>
        <w:rPr>
          <w:rFonts w:hint="eastAsia" w:ascii="宋体" w:hAnsi="宋体"/>
          <w:sz w:val="24"/>
        </w:rPr>
        <w:t>系统软件平台升级、设备迁移、保卫科监控中心规整等工作，中标人必须配合招标人</w:t>
      </w:r>
      <w:r>
        <w:rPr>
          <w:rFonts w:ascii="宋体" w:hAnsi="宋体"/>
          <w:sz w:val="24"/>
        </w:rPr>
        <w:t>和第三方进行工作</w:t>
      </w:r>
      <w:r>
        <w:rPr>
          <w:rFonts w:hint="eastAsia" w:ascii="宋体" w:hAnsi="宋体"/>
          <w:sz w:val="24"/>
        </w:rPr>
        <w:t>。</w:t>
      </w:r>
    </w:p>
    <w:p>
      <w:pPr>
        <w:pStyle w:val="39"/>
        <w:adjustRightInd w:val="0"/>
        <w:snapToGrid w:val="0"/>
        <w:spacing w:line="440" w:lineRule="exact"/>
        <w:ind w:firstLine="480"/>
        <w:rPr>
          <w:rFonts w:ascii="宋体" w:hAnsi="宋体"/>
          <w:sz w:val="24"/>
        </w:rPr>
      </w:pPr>
      <w:r>
        <w:rPr>
          <w:rFonts w:hint="eastAsia" w:ascii="宋体" w:hAnsi="宋体"/>
          <w:sz w:val="24"/>
        </w:rPr>
        <w:t>(四) 业务技能培训</w:t>
      </w:r>
    </w:p>
    <w:p>
      <w:pPr>
        <w:pStyle w:val="39"/>
        <w:adjustRightInd w:val="0"/>
        <w:snapToGrid w:val="0"/>
        <w:spacing w:line="440" w:lineRule="exact"/>
        <w:ind w:firstLine="480"/>
        <w:rPr>
          <w:rFonts w:ascii="宋体" w:hAnsi="宋体"/>
          <w:sz w:val="24"/>
        </w:rPr>
      </w:pPr>
      <w:r>
        <w:rPr>
          <w:rFonts w:hint="eastAsia" w:ascii="宋体" w:hAnsi="宋体"/>
          <w:sz w:val="24"/>
        </w:rPr>
        <w:t>对招标人提出的培训要求，中标人将根据招标人的实际需求，积极配合招标人的工作，定期组织相关培训，完成</w:t>
      </w:r>
      <w:r>
        <w:rPr>
          <w:rFonts w:ascii="宋体" w:hAnsi="宋体"/>
          <w:sz w:val="24"/>
        </w:rPr>
        <w:t>一本</w:t>
      </w:r>
      <w:r>
        <w:rPr>
          <w:rFonts w:hint="eastAsia" w:ascii="宋体" w:hAnsi="宋体"/>
          <w:sz w:val="24"/>
        </w:rPr>
        <w:t>维护</w:t>
      </w:r>
      <w:r>
        <w:rPr>
          <w:rFonts w:ascii="宋体" w:hAnsi="宋体"/>
          <w:sz w:val="24"/>
        </w:rPr>
        <w:t>保养常见问题的</w:t>
      </w:r>
      <w:r>
        <w:rPr>
          <w:rFonts w:hint="eastAsia" w:ascii="宋体" w:hAnsi="宋体"/>
          <w:sz w:val="24"/>
        </w:rPr>
        <w:t>操作</w:t>
      </w:r>
      <w:r>
        <w:rPr>
          <w:rFonts w:ascii="宋体" w:hAnsi="宋体"/>
          <w:sz w:val="24"/>
        </w:rPr>
        <w:t>手册</w:t>
      </w:r>
      <w:r>
        <w:rPr>
          <w:rFonts w:hint="eastAsia" w:ascii="宋体" w:hAnsi="宋体"/>
          <w:sz w:val="24"/>
        </w:rPr>
        <w:t xml:space="preserve">。 </w:t>
      </w:r>
    </w:p>
    <w:p>
      <w:pPr>
        <w:adjustRightInd w:val="0"/>
        <w:snapToGrid w:val="0"/>
        <w:spacing w:line="440" w:lineRule="exact"/>
        <w:ind w:firstLine="480" w:firstLineChars="200"/>
        <w:rPr>
          <w:rFonts w:ascii="宋体" w:hAnsi="宋体"/>
          <w:sz w:val="24"/>
        </w:rPr>
      </w:pPr>
      <w:r>
        <w:rPr>
          <w:rFonts w:hint="eastAsia" w:ascii="宋体" w:hAnsi="宋体"/>
          <w:sz w:val="24"/>
        </w:rPr>
        <w:t>三、其他说明</w:t>
      </w:r>
    </w:p>
    <w:p>
      <w:pPr>
        <w:pStyle w:val="39"/>
        <w:adjustRightInd w:val="0"/>
        <w:snapToGrid w:val="0"/>
        <w:spacing w:line="440" w:lineRule="exact"/>
        <w:ind w:firstLine="480"/>
        <w:rPr>
          <w:rFonts w:ascii="宋体" w:hAnsi="宋体"/>
          <w:sz w:val="24"/>
        </w:rPr>
      </w:pPr>
      <w:r>
        <w:rPr>
          <w:rFonts w:ascii="宋体" w:hAnsi="宋体"/>
          <w:sz w:val="24"/>
        </w:rPr>
        <w:t>3.</w:t>
      </w:r>
      <w:r>
        <w:rPr>
          <w:rFonts w:hint="eastAsia" w:ascii="宋体" w:hAnsi="宋体"/>
          <w:sz w:val="24"/>
        </w:rPr>
        <w:t>1</w:t>
      </w:r>
      <w:r>
        <w:rPr>
          <w:rFonts w:ascii="宋体" w:hAnsi="宋体"/>
          <w:sz w:val="24"/>
        </w:rPr>
        <w:t>中标人</w:t>
      </w:r>
      <w:r>
        <w:rPr>
          <w:rFonts w:hint="eastAsia" w:ascii="宋体" w:hAnsi="宋体"/>
          <w:sz w:val="24"/>
        </w:rPr>
        <w:t>自行</w:t>
      </w:r>
      <w:r>
        <w:rPr>
          <w:rFonts w:ascii="宋体" w:hAnsi="宋体"/>
          <w:sz w:val="24"/>
        </w:rPr>
        <w:t>提供</w:t>
      </w:r>
      <w:r>
        <w:rPr>
          <w:rFonts w:hint="eastAsia" w:ascii="宋体" w:hAnsi="宋体"/>
          <w:sz w:val="24"/>
        </w:rPr>
        <w:t>必要</w:t>
      </w:r>
      <w:r>
        <w:rPr>
          <w:rFonts w:ascii="宋体" w:hAnsi="宋体"/>
          <w:sz w:val="24"/>
        </w:rPr>
        <w:t>的</w:t>
      </w:r>
      <w:r>
        <w:rPr>
          <w:rFonts w:hint="eastAsia" w:ascii="宋体" w:hAnsi="宋体"/>
          <w:sz w:val="24"/>
        </w:rPr>
        <w:t>维护</w:t>
      </w:r>
      <w:r>
        <w:rPr>
          <w:rFonts w:ascii="宋体" w:hAnsi="宋体"/>
          <w:sz w:val="24"/>
        </w:rPr>
        <w:t>保养工具设备（</w:t>
      </w:r>
      <w:r>
        <w:rPr>
          <w:rFonts w:hint="eastAsia" w:ascii="宋体" w:hAnsi="宋体"/>
          <w:sz w:val="24"/>
        </w:rPr>
        <w:t>包括</w:t>
      </w:r>
      <w:r>
        <w:rPr>
          <w:rFonts w:ascii="宋体" w:hAnsi="宋体"/>
          <w:sz w:val="24"/>
        </w:rPr>
        <w:t>但不局限于</w:t>
      </w:r>
      <w:r>
        <w:rPr>
          <w:rFonts w:hint="eastAsia" w:ascii="宋体" w:hAnsi="宋体"/>
          <w:sz w:val="24"/>
        </w:rPr>
        <w:t>电脑</w:t>
      </w:r>
      <w:r>
        <w:rPr>
          <w:rFonts w:ascii="宋体" w:hAnsi="宋体"/>
          <w:sz w:val="24"/>
        </w:rPr>
        <w:t>、脚手架</w:t>
      </w:r>
      <w:r>
        <w:rPr>
          <w:rFonts w:hint="eastAsia" w:ascii="宋体" w:hAnsi="宋体"/>
          <w:sz w:val="24"/>
        </w:rPr>
        <w:t>、</w:t>
      </w:r>
      <w:r>
        <w:rPr>
          <w:rFonts w:ascii="宋体" w:hAnsi="宋体"/>
          <w:sz w:val="24"/>
        </w:rPr>
        <w:t>工程宝</w:t>
      </w:r>
      <w:r>
        <w:rPr>
          <w:rFonts w:hint="eastAsia" w:ascii="宋体" w:hAnsi="宋体"/>
          <w:sz w:val="24"/>
        </w:rPr>
        <w:t>等</w:t>
      </w:r>
      <w:r>
        <w:rPr>
          <w:rFonts w:ascii="宋体" w:hAnsi="宋体"/>
          <w:sz w:val="24"/>
        </w:rPr>
        <w:t>）</w:t>
      </w:r>
      <w:r>
        <w:rPr>
          <w:rFonts w:hint="eastAsia" w:ascii="宋体" w:hAnsi="宋体"/>
          <w:sz w:val="24"/>
        </w:rPr>
        <w:t>，以便随时解决系统出现的各种各类故障，确保系统正常运行。医院提供仓库场馆</w:t>
      </w:r>
      <w:r>
        <w:rPr>
          <w:rFonts w:ascii="宋体" w:hAnsi="宋体"/>
          <w:sz w:val="24"/>
        </w:rPr>
        <w:t>给予</w:t>
      </w:r>
      <w:r>
        <w:rPr>
          <w:rFonts w:hint="eastAsia" w:ascii="宋体" w:hAnsi="宋体"/>
          <w:sz w:val="24"/>
        </w:rPr>
        <w:t>存放。</w:t>
      </w:r>
    </w:p>
    <w:p>
      <w:pPr>
        <w:pStyle w:val="39"/>
        <w:adjustRightInd w:val="0"/>
        <w:snapToGrid w:val="0"/>
        <w:spacing w:line="440" w:lineRule="exact"/>
        <w:ind w:firstLine="480"/>
        <w:rPr>
          <w:rFonts w:ascii="宋体" w:hAnsi="宋体"/>
          <w:sz w:val="24"/>
        </w:rPr>
      </w:pPr>
      <w:r>
        <w:rPr>
          <w:rFonts w:ascii="宋体" w:hAnsi="宋体"/>
          <w:sz w:val="24"/>
        </w:rPr>
        <w:t>3.</w:t>
      </w:r>
      <w:r>
        <w:rPr>
          <w:rFonts w:hint="eastAsia" w:ascii="宋体" w:hAnsi="宋体"/>
          <w:sz w:val="24"/>
        </w:rPr>
        <w:t>2</w:t>
      </w:r>
      <w:r>
        <w:rPr>
          <w:rFonts w:ascii="宋体" w:hAnsi="宋体"/>
          <w:sz w:val="24"/>
        </w:rPr>
        <w:t>除招标文件中规定招标人负责的工作外，在维修保养过程中，中标人</w:t>
      </w:r>
      <w:r>
        <w:rPr>
          <w:rFonts w:hint="eastAsia" w:ascii="宋体" w:hAnsi="宋体"/>
          <w:sz w:val="24"/>
        </w:rPr>
        <w:t>自行解决维保人员的住宿、用电用水、交通等相关费用。</w:t>
      </w:r>
      <w:r>
        <w:rPr>
          <w:rFonts w:ascii="宋体" w:hAnsi="宋体"/>
          <w:sz w:val="24"/>
        </w:rPr>
        <w:t>对外发生的任何纠纷与交涉以及由此造成的损失，均由中标人自行解决，如需招标人进行协调，则协调所发生的费用由中标人承担。</w:t>
      </w:r>
    </w:p>
    <w:p>
      <w:pPr>
        <w:pStyle w:val="39"/>
        <w:adjustRightInd w:val="0"/>
        <w:snapToGrid w:val="0"/>
        <w:spacing w:line="440" w:lineRule="exact"/>
        <w:ind w:firstLine="480"/>
        <w:rPr>
          <w:rFonts w:ascii="宋体" w:hAnsi="宋体"/>
          <w:sz w:val="24"/>
        </w:rPr>
      </w:pPr>
      <w:r>
        <w:rPr>
          <w:rFonts w:ascii="宋体" w:hAnsi="宋体"/>
          <w:sz w:val="24"/>
        </w:rPr>
        <w:t>3.</w:t>
      </w:r>
      <w:r>
        <w:rPr>
          <w:rFonts w:hint="eastAsia" w:ascii="宋体" w:hAnsi="宋体"/>
          <w:sz w:val="24"/>
        </w:rPr>
        <w:t>3中标人</w:t>
      </w:r>
      <w:r>
        <w:rPr>
          <w:rFonts w:ascii="宋体" w:hAnsi="宋体"/>
          <w:sz w:val="24"/>
        </w:rPr>
        <w:t>必须与招标人签订</w:t>
      </w:r>
      <w:r>
        <w:rPr>
          <w:rFonts w:hint="eastAsia" w:ascii="宋体" w:hAnsi="宋体"/>
          <w:sz w:val="24"/>
        </w:rPr>
        <w:t>相关</w:t>
      </w:r>
      <w:r>
        <w:rPr>
          <w:rFonts w:ascii="宋体" w:hAnsi="宋体"/>
          <w:sz w:val="24"/>
        </w:rPr>
        <w:t>的保密协议。</w:t>
      </w:r>
    </w:p>
    <w:p>
      <w:pPr>
        <w:pStyle w:val="39"/>
        <w:adjustRightInd w:val="0"/>
        <w:snapToGrid w:val="0"/>
        <w:spacing w:line="440" w:lineRule="exact"/>
        <w:ind w:firstLine="480"/>
        <w:rPr>
          <w:rFonts w:ascii="宋体" w:hAnsi="宋体"/>
          <w:sz w:val="24"/>
        </w:rPr>
      </w:pPr>
      <w:r>
        <w:rPr>
          <w:rFonts w:ascii="宋体" w:hAnsi="宋体"/>
          <w:sz w:val="24"/>
        </w:rPr>
        <w:t>3.</w:t>
      </w:r>
      <w:r>
        <w:rPr>
          <w:rFonts w:hint="eastAsia" w:ascii="宋体" w:hAnsi="宋体"/>
          <w:sz w:val="24"/>
        </w:rPr>
        <w:t>4</w:t>
      </w:r>
      <w:r>
        <w:rPr>
          <w:rFonts w:ascii="宋体" w:hAnsi="宋体"/>
          <w:sz w:val="24"/>
        </w:rPr>
        <w:t>投标人一旦参加投标，就意味着已承认招标文件所有条款及要求，并受其约束。</w:t>
      </w:r>
    </w:p>
    <w:p>
      <w:pPr>
        <w:pStyle w:val="39"/>
        <w:adjustRightInd w:val="0"/>
        <w:snapToGrid w:val="0"/>
        <w:spacing w:line="440" w:lineRule="exact"/>
        <w:ind w:firstLine="480"/>
        <w:rPr>
          <w:rFonts w:ascii="宋体" w:hAnsi="宋体"/>
          <w:sz w:val="24"/>
        </w:rPr>
      </w:pPr>
      <w:r>
        <w:rPr>
          <w:rFonts w:ascii="宋体" w:hAnsi="宋体"/>
          <w:sz w:val="24"/>
        </w:rPr>
        <w:t>3.</w:t>
      </w:r>
      <w:r>
        <w:rPr>
          <w:rFonts w:hint="eastAsia" w:ascii="宋体" w:hAnsi="宋体"/>
          <w:sz w:val="24"/>
        </w:rPr>
        <w:t>5</w:t>
      </w:r>
      <w:r>
        <w:rPr>
          <w:rFonts w:ascii="宋体" w:hAnsi="宋体"/>
          <w:sz w:val="24"/>
        </w:rPr>
        <w:t>投标人如中标，在进入施工现场后，应遵守国家相关法律法规、</w:t>
      </w:r>
      <w:r>
        <w:rPr>
          <w:rFonts w:hint="eastAsia" w:ascii="宋体" w:hAnsi="宋体"/>
          <w:sz w:val="24"/>
        </w:rPr>
        <w:t>医院</w:t>
      </w:r>
      <w:r>
        <w:rPr>
          <w:rFonts w:ascii="宋体" w:hAnsi="宋体"/>
          <w:sz w:val="24"/>
        </w:rPr>
        <w:t>管理规定，并负责施工范围内的一切安全防护措施、承担施工范围内的一切安全责任，投标人应在其投标文件中作出承诺。</w:t>
      </w:r>
    </w:p>
    <w:p>
      <w:pPr>
        <w:pStyle w:val="39"/>
        <w:adjustRightInd w:val="0"/>
        <w:snapToGrid w:val="0"/>
        <w:spacing w:line="440" w:lineRule="exact"/>
        <w:ind w:firstLine="480"/>
        <w:rPr>
          <w:rFonts w:ascii="宋体" w:hAnsi="宋体"/>
          <w:sz w:val="24"/>
        </w:rPr>
      </w:pPr>
      <w:r>
        <w:rPr>
          <w:rFonts w:hint="eastAsia" w:ascii="宋体" w:hAnsi="宋体"/>
          <w:sz w:val="24"/>
        </w:rPr>
        <w:t>3.6中标人</w:t>
      </w:r>
      <w:r>
        <w:rPr>
          <w:rFonts w:ascii="宋体" w:hAnsi="宋体"/>
          <w:sz w:val="24"/>
        </w:rPr>
        <w:t>维保期满</w:t>
      </w:r>
      <w:r>
        <w:rPr>
          <w:rFonts w:hint="eastAsia" w:ascii="宋体" w:hAnsi="宋体"/>
          <w:sz w:val="24"/>
        </w:rPr>
        <w:t>或</w:t>
      </w:r>
      <w:r>
        <w:rPr>
          <w:rFonts w:ascii="宋体" w:hAnsi="宋体"/>
          <w:sz w:val="24"/>
        </w:rPr>
        <w:t>中途原因退出后</w:t>
      </w:r>
      <w:r>
        <w:rPr>
          <w:rFonts w:hint="eastAsia" w:ascii="宋体" w:hAnsi="宋体"/>
          <w:sz w:val="24"/>
        </w:rPr>
        <w:t>，</w:t>
      </w:r>
      <w:r>
        <w:rPr>
          <w:rFonts w:ascii="宋体" w:hAnsi="宋体"/>
          <w:sz w:val="24"/>
        </w:rPr>
        <w:t>须免费延长一个月的</w:t>
      </w:r>
      <w:r>
        <w:rPr>
          <w:rFonts w:hint="eastAsia" w:ascii="宋体" w:hAnsi="宋体"/>
          <w:sz w:val="24"/>
        </w:rPr>
        <w:t>照常</w:t>
      </w:r>
      <w:r>
        <w:rPr>
          <w:rFonts w:ascii="宋体" w:hAnsi="宋体"/>
          <w:sz w:val="24"/>
        </w:rPr>
        <w:t>维护，进行</w:t>
      </w:r>
      <w:r>
        <w:rPr>
          <w:rFonts w:hint="eastAsia" w:ascii="宋体" w:hAnsi="宋体"/>
          <w:sz w:val="24"/>
        </w:rPr>
        <w:t>业务上</w:t>
      </w:r>
      <w:r>
        <w:rPr>
          <w:rFonts w:ascii="宋体" w:hAnsi="宋体"/>
          <w:sz w:val="24"/>
        </w:rPr>
        <w:t>的交接。</w:t>
      </w:r>
      <w:r>
        <w:rPr>
          <w:rFonts w:hint="eastAsia" w:ascii="宋体" w:hAnsi="宋体"/>
          <w:sz w:val="24"/>
        </w:rPr>
        <w:t>以便</w:t>
      </w:r>
      <w:r>
        <w:rPr>
          <w:rFonts w:ascii="宋体" w:hAnsi="宋体"/>
          <w:sz w:val="24"/>
        </w:rPr>
        <w:t>于</w:t>
      </w:r>
      <w:r>
        <w:rPr>
          <w:rFonts w:hint="eastAsia" w:ascii="宋体" w:hAnsi="宋体"/>
          <w:sz w:val="24"/>
        </w:rPr>
        <w:t>招标人后续</w:t>
      </w:r>
      <w:r>
        <w:rPr>
          <w:rFonts w:ascii="宋体" w:hAnsi="宋体"/>
          <w:sz w:val="24"/>
        </w:rPr>
        <w:t>工作</w:t>
      </w:r>
      <w:r>
        <w:rPr>
          <w:rFonts w:hint="eastAsia" w:ascii="宋体" w:hAnsi="宋体"/>
          <w:sz w:val="24"/>
        </w:rPr>
        <w:t>安排。</w:t>
      </w:r>
    </w:p>
    <w:p>
      <w:pPr>
        <w:spacing w:line="360" w:lineRule="auto"/>
        <w:jc w:val="center"/>
        <w:rPr>
          <w:rFonts w:ascii="宋体" w:hAnsi="宋体"/>
          <w:sz w:val="24"/>
        </w:rPr>
      </w:pPr>
      <w:r>
        <w:rPr>
          <w:rFonts w:ascii="宋体" w:hAnsi="宋体"/>
          <w:sz w:val="24"/>
        </w:rPr>
        <w:t>第三部分  开标和评标</w:t>
      </w:r>
    </w:p>
    <w:p>
      <w:pPr>
        <w:spacing w:line="360" w:lineRule="auto"/>
        <w:ind w:firstLine="480" w:firstLineChars="200"/>
        <w:outlineLvl w:val="0"/>
        <w:rPr>
          <w:rFonts w:ascii="宋体" w:hAnsi="宋体"/>
          <w:sz w:val="24"/>
        </w:rPr>
      </w:pPr>
      <w:r>
        <w:rPr>
          <w:rFonts w:ascii="宋体" w:hAnsi="宋体"/>
          <w:sz w:val="24"/>
        </w:rPr>
        <w:t>一、对投标文件的审查及相应的规定</w:t>
      </w:r>
    </w:p>
    <w:p>
      <w:pPr>
        <w:spacing w:line="360" w:lineRule="auto"/>
        <w:rPr>
          <w:rFonts w:ascii="宋体" w:hAnsi="宋体"/>
          <w:sz w:val="24"/>
        </w:rPr>
      </w:pPr>
      <w:r>
        <w:rPr>
          <w:rFonts w:ascii="宋体" w:hAnsi="宋体"/>
          <w:sz w:val="24"/>
        </w:rPr>
        <w:t xml:space="preserve">    开标时，招标方将审查投标文件是否有效，是否有计算错误，材料是否齐全。如果单价与总价有出入，以单价为准；若文件大写表示的数据与数字表示的有差别，以大写表示的数据为准。</w:t>
      </w:r>
    </w:p>
    <w:p>
      <w:pPr>
        <w:spacing w:line="360" w:lineRule="auto"/>
        <w:ind w:left="239" w:leftChars="114" w:firstLine="240" w:firstLineChars="100"/>
        <w:rPr>
          <w:rFonts w:ascii="宋体" w:hAnsi="宋体"/>
          <w:sz w:val="24"/>
        </w:rPr>
      </w:pPr>
      <w:r>
        <w:rPr>
          <w:rFonts w:ascii="宋体" w:hAnsi="宋体"/>
          <w:sz w:val="24"/>
        </w:rPr>
        <w:t>二、投标文件的澄清</w:t>
      </w:r>
    </w:p>
    <w:p>
      <w:pPr>
        <w:spacing w:line="360" w:lineRule="auto"/>
        <w:ind w:left="210" w:leftChars="100" w:firstLine="240" w:firstLineChars="100"/>
        <w:rPr>
          <w:rFonts w:ascii="宋体" w:hAnsi="宋体"/>
          <w:sz w:val="24"/>
        </w:rPr>
      </w:pPr>
      <w:r>
        <w:rPr>
          <w:rFonts w:ascii="宋体" w:hAnsi="宋体"/>
          <w:sz w:val="24"/>
        </w:rPr>
        <w:t>1</w:t>
      </w:r>
      <w:r>
        <w:rPr>
          <w:rFonts w:hint="eastAsia" w:ascii="宋体" w:hAnsi="宋体"/>
          <w:sz w:val="24"/>
        </w:rPr>
        <w:t>.</w:t>
      </w:r>
      <w:r>
        <w:rPr>
          <w:rFonts w:ascii="宋体" w:hAnsi="宋体"/>
          <w:sz w:val="24"/>
        </w:rPr>
        <w:t>为了有助于对投标文件进行审查、评估和比较，招标方有权向投标方质疑，投标方法定代表人或法定代表人委托人必须及时答疑及澄清其投标内容。</w:t>
      </w:r>
    </w:p>
    <w:p>
      <w:pPr>
        <w:spacing w:line="360" w:lineRule="auto"/>
        <w:ind w:left="210" w:leftChars="100" w:firstLine="240" w:firstLineChars="100"/>
        <w:rPr>
          <w:rFonts w:ascii="宋体" w:hAnsi="宋体"/>
          <w:sz w:val="24"/>
        </w:rPr>
      </w:pPr>
      <w:r>
        <w:rPr>
          <w:rFonts w:ascii="宋体" w:hAnsi="宋体"/>
          <w:sz w:val="24"/>
        </w:rPr>
        <w:t>2</w:t>
      </w:r>
      <w:r>
        <w:rPr>
          <w:rFonts w:hint="eastAsia" w:ascii="宋体" w:hAnsi="宋体"/>
          <w:sz w:val="24"/>
        </w:rPr>
        <w:t>.</w:t>
      </w:r>
      <w:r>
        <w:rPr>
          <w:rFonts w:ascii="宋体" w:hAnsi="宋体"/>
          <w:sz w:val="24"/>
        </w:rPr>
        <w:t>重要澄清的答复应是书面的，但不得对投标内容进行实质性修改。</w:t>
      </w:r>
    </w:p>
    <w:p>
      <w:pPr>
        <w:autoSpaceDE w:val="0"/>
        <w:autoSpaceDN w:val="0"/>
        <w:adjustRightInd w:val="0"/>
        <w:spacing w:line="360" w:lineRule="auto"/>
        <w:ind w:firstLine="477" w:firstLineChars="199"/>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三、</w:t>
      </w:r>
      <w:r>
        <w:rPr>
          <w:rFonts w:hint="eastAsia" w:ascii="宋体" w:hAnsi="宋体"/>
          <w:color w:val="000000" w:themeColor="text1"/>
          <w:sz w:val="24"/>
          <w14:textFill>
            <w14:solidFill>
              <w14:schemeClr w14:val="tx1"/>
            </w14:solidFill>
          </w14:textFill>
        </w:rPr>
        <w:t>评标方法</w:t>
      </w:r>
    </w:p>
    <w:p>
      <w:pPr>
        <w:tabs>
          <w:tab w:val="left" w:pos="420"/>
        </w:tabs>
        <w:spacing w:line="360" w:lineRule="auto"/>
        <w:ind w:firstLine="424" w:firstLineChars="177"/>
        <w:rPr>
          <w:rFonts w:ascii="宋体" w:hAnsi="宋体" w:cs="宋体"/>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1.评标采用综合评分法，即</w:t>
      </w:r>
      <w:r>
        <w:rPr>
          <w:rFonts w:hint="eastAsia" w:ascii="宋体" w:hAnsi="宋体" w:cs="宋体"/>
          <w:color w:val="000000" w:themeColor="text1"/>
          <w:kern w:val="0"/>
          <w:sz w:val="24"/>
          <w14:textFill>
            <w14:solidFill>
              <w14:schemeClr w14:val="tx1"/>
            </w14:solidFill>
          </w14:textFill>
        </w:rPr>
        <w:t>投标文件满足本招标书要求且综合评分最高的投标人为中标候选人。</w:t>
      </w:r>
    </w:p>
    <w:p>
      <w:pPr>
        <w:ind w:firstLine="424" w:firstLineChars="177"/>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 评分项目（总分</w:t>
      </w:r>
      <w:r>
        <w:rPr>
          <w:rFonts w:ascii="宋体" w:hAnsi="宋体"/>
          <w:color w:val="000000" w:themeColor="text1"/>
          <w:sz w:val="24"/>
          <w14:textFill>
            <w14:solidFill>
              <w14:schemeClr w14:val="tx1"/>
            </w14:solidFill>
          </w14:textFill>
        </w:rPr>
        <w:t>100</w:t>
      </w:r>
      <w:r>
        <w:rPr>
          <w:rFonts w:hint="eastAsia" w:ascii="宋体" w:hAnsi="宋体"/>
          <w:color w:val="000000" w:themeColor="text1"/>
          <w:sz w:val="24"/>
          <w14:textFill>
            <w14:solidFill>
              <w14:schemeClr w14:val="tx1"/>
            </w14:solidFill>
          </w14:textFill>
        </w:rPr>
        <w:t>分）</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本项目总分值为100分，其中价格部分</w:t>
      </w:r>
      <w:r>
        <w:rPr>
          <w:color w:val="000000" w:themeColor="text1"/>
          <w:sz w:val="24"/>
          <w14:textFill>
            <w14:solidFill>
              <w14:schemeClr w14:val="tx1"/>
            </w14:solidFill>
          </w14:textFill>
        </w:rPr>
        <w:t>10</w:t>
      </w:r>
      <w:r>
        <w:rPr>
          <w:rFonts w:hint="eastAsia"/>
          <w:color w:val="000000" w:themeColor="text1"/>
          <w:sz w:val="24"/>
          <w14:textFill>
            <w14:solidFill>
              <w14:schemeClr w14:val="tx1"/>
            </w14:solidFill>
          </w14:textFill>
        </w:rPr>
        <w:t>分，技术部分</w:t>
      </w:r>
      <w:r>
        <w:rPr>
          <w:color w:val="000000" w:themeColor="text1"/>
          <w:sz w:val="24"/>
          <w14:textFill>
            <w14:solidFill>
              <w14:schemeClr w14:val="tx1"/>
            </w14:solidFill>
          </w14:textFill>
        </w:rPr>
        <w:t>90</w:t>
      </w:r>
      <w:r>
        <w:rPr>
          <w:rFonts w:hint="eastAsia"/>
          <w:color w:val="000000" w:themeColor="text1"/>
          <w:sz w:val="24"/>
          <w14:textFill>
            <w14:solidFill>
              <w14:schemeClr w14:val="tx1"/>
            </w14:solidFill>
          </w14:textFill>
        </w:rPr>
        <w:t>分。投标人总得分=</w:t>
      </w:r>
      <w:r>
        <w:rPr>
          <w:rFonts w:hint="eastAsia"/>
          <w:color w:val="000000" w:themeColor="text1"/>
          <w:sz w:val="24"/>
          <w:lang w:eastAsia="zh-CN"/>
          <w14:textFill>
            <w14:solidFill>
              <w14:schemeClr w14:val="tx1"/>
            </w14:solidFill>
          </w14:textFill>
        </w:rPr>
        <w:t>商务</w:t>
      </w:r>
      <w:bookmarkStart w:id="0" w:name="_GoBack"/>
      <w:bookmarkEnd w:id="0"/>
      <w:r>
        <w:rPr>
          <w:rFonts w:hint="eastAsia"/>
          <w:color w:val="000000" w:themeColor="text1"/>
          <w:sz w:val="24"/>
          <w14:textFill>
            <w14:solidFill>
              <w14:schemeClr w14:val="tx1"/>
            </w14:solidFill>
          </w14:textFill>
        </w:rPr>
        <w:t>部分得分+技术部分得分。</w:t>
      </w:r>
    </w:p>
    <w:tbl>
      <w:tblPr>
        <w:tblStyle w:val="16"/>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05"/>
        <w:gridCol w:w="1427"/>
        <w:gridCol w:w="1559"/>
        <w:gridCol w:w="532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blHeader/>
          <w:jc w:val="center"/>
        </w:trPr>
        <w:tc>
          <w:tcPr>
            <w:tcW w:w="1105" w:type="dxa"/>
            <w:vAlign w:val="center"/>
          </w:tcPr>
          <w:p>
            <w:pPr>
              <w:widowControl/>
              <w:jc w:val="center"/>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评审项目</w:t>
            </w:r>
          </w:p>
        </w:tc>
        <w:tc>
          <w:tcPr>
            <w:tcW w:w="1427" w:type="dxa"/>
            <w:vAlign w:val="center"/>
          </w:tcPr>
          <w:p>
            <w:pPr>
              <w:widowControl/>
              <w:jc w:val="center"/>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分值</w:t>
            </w:r>
          </w:p>
        </w:tc>
        <w:tc>
          <w:tcPr>
            <w:tcW w:w="6881" w:type="dxa"/>
            <w:gridSpan w:val="2"/>
            <w:vAlign w:val="center"/>
          </w:tcPr>
          <w:p>
            <w:pPr>
              <w:widowControl/>
              <w:jc w:val="center"/>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评分标准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04" w:hRule="atLeast"/>
          <w:jc w:val="center"/>
        </w:trPr>
        <w:tc>
          <w:tcPr>
            <w:tcW w:w="1105" w:type="dxa"/>
            <w:vAlign w:val="center"/>
          </w:tcPr>
          <w:p>
            <w:pPr>
              <w:widowControl/>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商务部分</w:t>
            </w:r>
          </w:p>
        </w:tc>
        <w:tc>
          <w:tcPr>
            <w:tcW w:w="1427" w:type="dxa"/>
            <w:vAlign w:val="center"/>
          </w:tcPr>
          <w:p>
            <w:pPr>
              <w:widowControl/>
              <w:jc w:val="center"/>
              <w:rPr>
                <w:rFonts w:ascii="宋体" w:hAnsi="宋体" w:cs="宋体"/>
                <w:bCs/>
                <w:color w:val="000000" w:themeColor="text1"/>
                <w:kern w:val="0"/>
                <w14:textFill>
                  <w14:solidFill>
                    <w14:schemeClr w14:val="tx1"/>
                  </w14:solidFill>
                </w14:textFill>
              </w:rPr>
            </w:pPr>
            <w:r>
              <w:rPr>
                <w:rFonts w:ascii="宋体" w:hAnsi="宋体" w:cs="宋体"/>
                <w:bCs/>
                <w:color w:val="000000" w:themeColor="text1"/>
                <w:kern w:val="0"/>
                <w14:textFill>
                  <w14:solidFill>
                    <w14:schemeClr w14:val="tx1"/>
                  </w14:solidFill>
                </w14:textFill>
              </w:rPr>
              <w:t>1</w:t>
            </w:r>
            <w:r>
              <w:rPr>
                <w:rFonts w:hint="eastAsia" w:ascii="宋体" w:hAnsi="宋体" w:cs="宋体"/>
                <w:bCs/>
                <w:color w:val="000000" w:themeColor="text1"/>
                <w:kern w:val="0"/>
                <w14:textFill>
                  <w14:solidFill>
                    <w14:schemeClr w14:val="tx1"/>
                  </w14:solidFill>
                </w14:textFill>
              </w:rPr>
              <w:t>0</w:t>
            </w:r>
            <w:r>
              <w:rPr>
                <w:rFonts w:ascii="宋体" w:hAnsi="宋体" w:cs="宋体"/>
                <w:bCs/>
                <w:color w:val="000000" w:themeColor="text1"/>
                <w:kern w:val="0"/>
                <w14:textFill>
                  <w14:solidFill>
                    <w14:schemeClr w14:val="tx1"/>
                  </w14:solidFill>
                </w14:textFill>
              </w:rPr>
              <w:t>分</w:t>
            </w:r>
          </w:p>
        </w:tc>
        <w:tc>
          <w:tcPr>
            <w:tcW w:w="6881" w:type="dxa"/>
            <w:gridSpan w:val="2"/>
            <w:vAlign w:val="center"/>
          </w:tcPr>
          <w:p>
            <w:pPr>
              <w:ind w:firstLine="420"/>
              <w:rPr>
                <w:color w:val="000000" w:themeColor="text1"/>
                <w:szCs w:val="21"/>
                <w14:textFill>
                  <w14:solidFill>
                    <w14:schemeClr w14:val="tx1"/>
                  </w14:solidFill>
                </w14:textFill>
              </w:rPr>
            </w:pPr>
            <w:r>
              <w:rPr>
                <w:color w:val="000000" w:themeColor="text1"/>
                <w:szCs w:val="21"/>
                <w14:textFill>
                  <w14:solidFill>
                    <w14:schemeClr w14:val="tx1"/>
                  </w14:solidFill>
                </w14:textFill>
              </w:rPr>
              <w:t>第一步：响应总报价低于或等于</w:t>
            </w:r>
            <w:r>
              <w:rPr>
                <w:rFonts w:hint="eastAsia"/>
                <w:color w:val="000000" w:themeColor="text1"/>
                <w:szCs w:val="21"/>
                <w14:textFill>
                  <w14:solidFill>
                    <w14:schemeClr w14:val="tx1"/>
                  </w14:solidFill>
                </w14:textFill>
              </w:rPr>
              <w:t>采购</w:t>
            </w:r>
            <w:r>
              <w:rPr>
                <w:color w:val="000000" w:themeColor="text1"/>
                <w:szCs w:val="21"/>
                <w14:textFill>
                  <w14:solidFill>
                    <w14:schemeClr w14:val="tx1"/>
                  </w14:solidFill>
                </w14:textFill>
              </w:rPr>
              <w:t>预算价格的，为有效响应报价。超</w:t>
            </w:r>
            <w:r>
              <w:rPr>
                <w:rFonts w:hint="eastAsia"/>
                <w:color w:val="000000" w:themeColor="text1"/>
                <w:szCs w:val="21"/>
                <w14:textFill>
                  <w14:solidFill>
                    <w14:schemeClr w14:val="tx1"/>
                  </w14:solidFill>
                </w14:textFill>
              </w:rPr>
              <w:t>采购</w:t>
            </w:r>
            <w:r>
              <w:rPr>
                <w:color w:val="000000" w:themeColor="text1"/>
                <w:szCs w:val="21"/>
                <w14:textFill>
                  <w14:solidFill>
                    <w14:schemeClr w14:val="tx1"/>
                  </w14:solidFill>
                </w14:textFill>
              </w:rPr>
              <w:t>预算的响应报价为无效响应报价。</w:t>
            </w:r>
          </w:p>
          <w:p>
            <w:pPr>
              <w:ind w:firstLine="420"/>
              <w:rPr>
                <w:color w:val="000000" w:themeColor="text1"/>
                <w:szCs w:val="21"/>
                <w14:textFill>
                  <w14:solidFill>
                    <w14:schemeClr w14:val="tx1"/>
                  </w14:solidFill>
                </w14:textFill>
              </w:rPr>
            </w:pPr>
            <w:r>
              <w:rPr>
                <w:color w:val="000000" w:themeColor="text1"/>
                <w:szCs w:val="21"/>
                <w14:textFill>
                  <w14:solidFill>
                    <w14:schemeClr w14:val="tx1"/>
                  </w14:solidFill>
                </w14:textFill>
              </w:rPr>
              <w:t>第二步：在所有有效响应报价中满足采购文件要求，且响应价格最低的响应报价为评审基准价，其他供应商的价格分按照下列公式计算（计算结果四舍五入保留两位小数）。</w:t>
            </w:r>
          </w:p>
          <w:p>
            <w:pPr>
              <w:ind w:firstLine="420"/>
              <w:rPr>
                <w:rFonts w:hint="eastAsia"/>
                <w:color w:val="000000" w:themeColor="text1"/>
                <w14:textFill>
                  <w14:solidFill>
                    <w14:schemeClr w14:val="tx1"/>
                  </w14:solidFill>
                </w14:textFill>
              </w:rPr>
            </w:pPr>
            <w:r>
              <w:rPr>
                <w:color w:val="000000" w:themeColor="text1"/>
                <w:szCs w:val="21"/>
                <w14:textFill>
                  <w14:solidFill>
                    <w14:schemeClr w14:val="tx1"/>
                  </w14:solidFill>
                </w14:textFill>
              </w:rPr>
              <w:t>报价得分＝（基准价/最终报价）×价格权值×100（价格权值为10%）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15" w:hRule="atLeast"/>
          <w:jc w:val="center"/>
        </w:trPr>
        <w:tc>
          <w:tcPr>
            <w:tcW w:w="1105" w:type="dxa"/>
            <w:vMerge w:val="restart"/>
            <w:vAlign w:val="center"/>
          </w:tcPr>
          <w:p>
            <w:pPr>
              <w:widowControl/>
              <w:jc w:val="center"/>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技术部分</w:t>
            </w:r>
          </w:p>
        </w:tc>
        <w:tc>
          <w:tcPr>
            <w:tcW w:w="1427" w:type="dxa"/>
            <w:vMerge w:val="restart"/>
            <w:vAlign w:val="center"/>
          </w:tcPr>
          <w:p>
            <w:pPr>
              <w:adjustRightInd w:val="0"/>
              <w:ind w:left="210" w:hanging="210" w:hangingChars="100"/>
              <w:jc w:val="center"/>
              <w:rPr>
                <w:rFonts w:ascii="宋体" w:hAnsi="宋体" w:cs="宋体"/>
                <w:color w:val="000000" w:themeColor="text1"/>
                <w:kern w:val="0"/>
                <w14:textFill>
                  <w14:solidFill>
                    <w14:schemeClr w14:val="tx1"/>
                  </w14:solidFill>
                </w14:textFill>
              </w:rPr>
            </w:pPr>
            <w:r>
              <w:rPr>
                <w:rFonts w:ascii="宋体" w:hAnsi="宋体" w:cs="宋体"/>
                <w:color w:val="000000" w:themeColor="text1"/>
                <w:kern w:val="0"/>
                <w14:textFill>
                  <w14:solidFill>
                    <w14:schemeClr w14:val="tx1"/>
                  </w14:solidFill>
                </w14:textFill>
              </w:rPr>
              <w:t>90</w:t>
            </w:r>
            <w:r>
              <w:rPr>
                <w:rFonts w:hint="eastAsia" w:ascii="宋体" w:hAnsi="宋体" w:cs="宋体"/>
                <w:color w:val="000000" w:themeColor="text1"/>
                <w:kern w:val="0"/>
                <w14:textFill>
                  <w14:solidFill>
                    <w14:schemeClr w14:val="tx1"/>
                  </w14:solidFill>
                </w14:textFill>
              </w:rPr>
              <w:t>分</w:t>
            </w:r>
          </w:p>
        </w:tc>
        <w:tc>
          <w:tcPr>
            <w:tcW w:w="1559" w:type="dxa"/>
            <w:tcBorders>
              <w:bottom w:val="single" w:color="auto" w:sz="4" w:space="0"/>
            </w:tcBorders>
            <w:vAlign w:val="center"/>
          </w:tcPr>
          <w:p>
            <w:pPr>
              <w:widowControl/>
              <w:adjustRightInd w:val="0"/>
              <w:jc w:val="center"/>
              <w:rPr>
                <w:rFonts w:ascii="宋体" w:hAnsi="宋体" w:cs="宋体"/>
                <w:color w:val="000000" w:themeColor="text1"/>
                <w:kern w:val="0"/>
                <w14:textFill>
                  <w14:solidFill>
                    <w14:schemeClr w14:val="tx1"/>
                  </w14:solidFill>
                </w14:textFill>
              </w:rPr>
            </w:pPr>
            <w:r>
              <w:rPr>
                <w:rFonts w:ascii="宋体" w:hAnsi="宋体" w:cs="宋体"/>
                <w:color w:val="000000" w:themeColor="text1"/>
                <w:kern w:val="0"/>
                <w14:textFill>
                  <w14:solidFill>
                    <w14:schemeClr w14:val="tx1"/>
                  </w14:solidFill>
                </w14:textFill>
              </w:rPr>
              <w:t>资质证明资料</w:t>
            </w:r>
          </w:p>
          <w:p>
            <w:pPr>
              <w:widowControl/>
              <w:adjustRightInd w:val="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（10分）</w:t>
            </w:r>
          </w:p>
        </w:tc>
        <w:tc>
          <w:tcPr>
            <w:tcW w:w="5322" w:type="dxa"/>
            <w:tcBorders>
              <w:bottom w:val="single" w:color="auto" w:sz="4" w:space="0"/>
            </w:tcBorders>
            <w:vAlign w:val="center"/>
          </w:tcPr>
          <w:p>
            <w:pPr>
              <w:widowControl/>
              <w:ind w:firstLine="210" w:firstLineChars="10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投标人具有</w:t>
            </w:r>
          </w:p>
          <w:p>
            <w:pPr>
              <w:widowControl/>
              <w:ind w:left="210" w:leftChars="10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1）省级住房和城乡建设厅颁发的安全生产许可证的，得2分；</w:t>
            </w:r>
          </w:p>
          <w:p>
            <w:pPr>
              <w:widowControl/>
              <w:ind w:left="210" w:leftChars="10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2）安防工程企业设计施工维护能力证书，得2分；</w:t>
            </w:r>
          </w:p>
          <w:p>
            <w:pPr>
              <w:widowControl/>
              <w:ind w:left="210" w:leftChars="10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3）资信等级证书：AAA级得3分，AA级得2分，A级得1分</w:t>
            </w:r>
          </w:p>
          <w:p>
            <w:pPr>
              <w:pStyle w:val="2"/>
              <w:ind w:left="0" w:leftChars="0" w:firstLine="210" w:firstLineChars="1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4）具有电子与智能化工程专业承包二级及以上资质证书得3分；</w:t>
            </w:r>
          </w:p>
          <w:p>
            <w:pPr>
              <w:ind w:firstLine="210" w:firstLineChars="100"/>
              <w:jc w:val="left"/>
              <w:rPr>
                <w:color w:val="000000" w:themeColor="text1"/>
                <w:szCs w:val="21"/>
                <w14:textFill>
                  <w14:solidFill>
                    <w14:schemeClr w14:val="tx1"/>
                  </w14:solidFill>
                </w14:textFill>
              </w:rPr>
            </w:pPr>
            <w:r>
              <w:rPr>
                <w:rFonts w:hint="eastAsia" w:ascii="宋体" w:hAnsi="宋体" w:cs="宋体"/>
                <w:color w:val="000000" w:themeColor="text1"/>
                <w:kern w:val="0"/>
                <w14:textFill>
                  <w14:solidFill>
                    <w14:schemeClr w14:val="tx1"/>
                  </w14:solidFill>
                </w14:textFill>
              </w:rPr>
              <w:t>最高10分。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45" w:hRule="atLeast"/>
          <w:jc w:val="center"/>
        </w:trPr>
        <w:tc>
          <w:tcPr>
            <w:tcW w:w="1105" w:type="dxa"/>
            <w:vMerge w:val="continue"/>
            <w:vAlign w:val="center"/>
          </w:tcPr>
          <w:p>
            <w:pPr>
              <w:widowControl/>
              <w:jc w:val="center"/>
              <w:rPr>
                <w:rFonts w:ascii="宋体" w:hAnsi="宋体" w:cs="宋体"/>
                <w:color w:val="000000" w:themeColor="text1"/>
                <w:kern w:val="0"/>
                <w14:textFill>
                  <w14:solidFill>
                    <w14:schemeClr w14:val="tx1"/>
                  </w14:solidFill>
                </w14:textFill>
              </w:rPr>
            </w:pPr>
          </w:p>
        </w:tc>
        <w:tc>
          <w:tcPr>
            <w:tcW w:w="1427" w:type="dxa"/>
            <w:vMerge w:val="continue"/>
            <w:vAlign w:val="center"/>
          </w:tcPr>
          <w:p>
            <w:pPr>
              <w:adjustRightInd w:val="0"/>
              <w:ind w:left="210" w:hanging="210" w:hangingChars="100"/>
              <w:jc w:val="center"/>
              <w:rPr>
                <w:rFonts w:ascii="宋体" w:hAnsi="宋体" w:cs="宋体"/>
                <w:color w:val="000000" w:themeColor="text1"/>
                <w:kern w:val="0"/>
                <w14:textFill>
                  <w14:solidFill>
                    <w14:schemeClr w14:val="tx1"/>
                  </w14:solidFill>
                </w14:textFill>
              </w:rPr>
            </w:pPr>
          </w:p>
        </w:tc>
        <w:tc>
          <w:tcPr>
            <w:tcW w:w="1559" w:type="dxa"/>
            <w:tcBorders>
              <w:top w:val="single" w:color="auto" w:sz="4" w:space="0"/>
              <w:bottom w:val="single" w:color="auto" w:sz="4" w:space="0"/>
            </w:tcBorders>
            <w:vAlign w:val="center"/>
          </w:tcPr>
          <w:p>
            <w:pPr>
              <w:widowControl/>
              <w:adjustRightInd w:val="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技术人员与车辆</w:t>
            </w:r>
          </w:p>
          <w:p>
            <w:pPr>
              <w:widowControl/>
              <w:adjustRightInd w:val="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（10分）</w:t>
            </w:r>
          </w:p>
        </w:tc>
        <w:tc>
          <w:tcPr>
            <w:tcW w:w="5322" w:type="dxa"/>
            <w:tcBorders>
              <w:top w:val="single" w:color="auto" w:sz="4" w:space="0"/>
              <w:bottom w:val="single" w:color="auto" w:sz="4" w:space="0"/>
            </w:tcBorders>
            <w:vAlign w:val="center"/>
          </w:tcPr>
          <w:p>
            <w:pPr>
              <w:adjustRightInd w:val="0"/>
              <w:ind w:firstLine="210" w:firstLineChars="10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拟投入该项目的技术人员与车辆</w:t>
            </w:r>
          </w:p>
          <w:p>
            <w:pPr>
              <w:adjustRightInd w:val="0"/>
              <w:ind w:firstLine="210" w:firstLineChars="100"/>
              <w:jc w:val="left"/>
              <w:rPr>
                <w:color w:val="000000" w:themeColor="text1"/>
                <w:szCs w:val="21"/>
                <w14:textFill>
                  <w14:solidFill>
                    <w14:schemeClr w14:val="tx1"/>
                  </w14:solidFill>
                </w14:textFill>
              </w:rPr>
            </w:pPr>
            <w:r>
              <w:rPr>
                <w:rFonts w:hint="eastAsia" w:ascii="宋体" w:hAnsi="宋体" w:cs="宋体"/>
                <w:color w:val="000000" w:themeColor="text1"/>
                <w:kern w:val="0"/>
                <w14:textFill>
                  <w14:solidFill>
                    <w14:schemeClr w14:val="tx1"/>
                  </w14:solidFill>
                </w14:textFill>
              </w:rPr>
              <w:t>1）具有安防技术证书的，每提供一份得2分，最高的6分</w:t>
            </w:r>
            <w:r>
              <w:rPr>
                <w:rFonts w:hint="eastAsia"/>
                <w:color w:val="000000" w:themeColor="text1"/>
                <w:szCs w:val="21"/>
                <w14:textFill>
                  <w14:solidFill>
                    <w14:schemeClr w14:val="tx1"/>
                  </w14:solidFill>
                </w14:textFill>
              </w:rPr>
              <w:t>（须出具证书复印件及投标人为上述人员缴纳的最近一年的社保证明原件，有社保中心参保缴费证明电子专用章的社保材料可视为原件）。</w:t>
            </w:r>
          </w:p>
          <w:p>
            <w:pPr>
              <w:adjustRightInd w:val="0"/>
              <w:ind w:firstLine="210" w:firstLineChars="100"/>
              <w:jc w:val="left"/>
              <w:rPr>
                <w:rFonts w:ascii="宋体" w:hAnsi="宋体" w:cs="宋体"/>
                <w:color w:val="000000" w:themeColor="text1"/>
                <w:kern w:val="0"/>
                <w14:textFill>
                  <w14:solidFill>
                    <w14:schemeClr w14:val="tx1"/>
                  </w14:solidFill>
                </w14:textFill>
              </w:rPr>
            </w:pPr>
            <w:r>
              <w:rPr>
                <w:rFonts w:ascii="宋体" w:hAnsi="宋体" w:cs="宋体"/>
                <w:color w:val="000000" w:themeColor="text1"/>
                <w:kern w:val="0"/>
                <w14:textFill>
                  <w14:solidFill>
                    <w14:schemeClr w14:val="tx1"/>
                  </w14:solidFill>
                </w14:textFill>
              </w:rPr>
              <w:t>2</w:t>
            </w:r>
            <w:r>
              <w:rPr>
                <w:rFonts w:hint="eastAsia" w:ascii="宋体" w:hAnsi="宋体" w:cs="宋体"/>
                <w:color w:val="000000" w:themeColor="text1"/>
                <w:kern w:val="0"/>
                <w14:textFill>
                  <w14:solidFill>
                    <w14:schemeClr w14:val="tx1"/>
                  </w14:solidFill>
                </w14:textFill>
              </w:rPr>
              <w:t>）具有维护车辆的，每提供一份行驶证复印件得1分，最高4分。</w:t>
            </w:r>
            <w:r>
              <w:rPr>
                <w:rFonts w:hint="eastAsia"/>
                <w:color w:val="000000" w:themeColor="text1"/>
                <w:szCs w:val="21"/>
                <w14:textFill>
                  <w14:solidFill>
                    <w14:schemeClr w14:val="tx1"/>
                  </w14:solidFill>
                </w14:textFill>
              </w:rPr>
              <w:t>（须出具与投标人名称一致的行驶证复印件）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76" w:hRule="atLeast"/>
          <w:jc w:val="center"/>
        </w:trPr>
        <w:tc>
          <w:tcPr>
            <w:tcW w:w="1105" w:type="dxa"/>
            <w:vMerge w:val="continue"/>
            <w:vAlign w:val="center"/>
          </w:tcPr>
          <w:p>
            <w:pPr>
              <w:widowControl/>
              <w:jc w:val="center"/>
              <w:rPr>
                <w:rFonts w:ascii="宋体" w:hAnsi="宋体" w:cs="宋体"/>
                <w:color w:val="000000" w:themeColor="text1"/>
                <w:kern w:val="0"/>
                <w14:textFill>
                  <w14:solidFill>
                    <w14:schemeClr w14:val="tx1"/>
                  </w14:solidFill>
                </w14:textFill>
              </w:rPr>
            </w:pPr>
          </w:p>
        </w:tc>
        <w:tc>
          <w:tcPr>
            <w:tcW w:w="1427" w:type="dxa"/>
            <w:vMerge w:val="continue"/>
            <w:vAlign w:val="center"/>
          </w:tcPr>
          <w:p>
            <w:pPr>
              <w:adjustRightInd w:val="0"/>
              <w:ind w:left="210" w:hanging="210" w:hangingChars="100"/>
              <w:jc w:val="center"/>
              <w:rPr>
                <w:rFonts w:ascii="宋体" w:hAnsi="宋体" w:cs="宋体"/>
                <w:color w:val="000000" w:themeColor="text1"/>
                <w:kern w:val="0"/>
                <w14:textFill>
                  <w14:solidFill>
                    <w14:schemeClr w14:val="tx1"/>
                  </w14:solidFill>
                </w14:textFill>
              </w:rPr>
            </w:pPr>
          </w:p>
        </w:tc>
        <w:tc>
          <w:tcPr>
            <w:tcW w:w="1559" w:type="dxa"/>
            <w:tcBorders>
              <w:top w:val="single" w:color="auto" w:sz="4" w:space="0"/>
              <w:bottom w:val="single" w:color="auto" w:sz="4" w:space="0"/>
            </w:tcBorders>
            <w:vAlign w:val="center"/>
          </w:tcPr>
          <w:p>
            <w:pPr>
              <w:widowControl/>
              <w:adjustRightInd w:val="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监控维保业绩</w:t>
            </w:r>
          </w:p>
          <w:p>
            <w:pPr>
              <w:widowControl/>
              <w:adjustRightInd w:val="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（5分）</w:t>
            </w:r>
          </w:p>
        </w:tc>
        <w:tc>
          <w:tcPr>
            <w:tcW w:w="5322" w:type="dxa"/>
            <w:tcBorders>
              <w:top w:val="single" w:color="auto" w:sz="4" w:space="0"/>
              <w:bottom w:val="single" w:color="auto" w:sz="4" w:space="0"/>
            </w:tcBorders>
            <w:vAlign w:val="center"/>
          </w:tcPr>
          <w:p>
            <w:pPr>
              <w:adjustRightInd w:val="0"/>
              <w:ind w:firstLine="294" w:firstLineChars="140"/>
              <w:jc w:val="left"/>
              <w:rPr>
                <w:rFonts w:ascii="宋体" w:hAnsi="宋体" w:cs="宋体"/>
                <w:color w:val="000000" w:themeColor="text1"/>
                <w:kern w:val="0"/>
                <w14:textFill>
                  <w14:solidFill>
                    <w14:schemeClr w14:val="tx1"/>
                  </w14:solidFill>
                </w14:textFill>
              </w:rPr>
            </w:pPr>
            <w:r>
              <w:rPr>
                <w:rFonts w:hint="eastAsia"/>
                <w:color w:val="000000" w:themeColor="text1"/>
                <w:szCs w:val="21"/>
                <w14:textFill>
                  <w14:solidFill>
                    <w14:schemeClr w14:val="tx1"/>
                  </w14:solidFill>
                </w14:textFill>
              </w:rPr>
              <w:t>近二年从事过安防系统项目维保业绩，每项加1分（以合同为准，同一法人单位不累加），最多得5分。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jc w:val="center"/>
        </w:trPr>
        <w:tc>
          <w:tcPr>
            <w:tcW w:w="1105" w:type="dxa"/>
            <w:vMerge w:val="continue"/>
            <w:vAlign w:val="center"/>
          </w:tcPr>
          <w:p>
            <w:pPr>
              <w:widowControl/>
              <w:jc w:val="center"/>
              <w:rPr>
                <w:rFonts w:ascii="宋体" w:hAnsi="宋体" w:cs="宋体"/>
                <w:color w:val="000000" w:themeColor="text1"/>
                <w:kern w:val="0"/>
                <w14:textFill>
                  <w14:solidFill>
                    <w14:schemeClr w14:val="tx1"/>
                  </w14:solidFill>
                </w14:textFill>
              </w:rPr>
            </w:pPr>
          </w:p>
        </w:tc>
        <w:tc>
          <w:tcPr>
            <w:tcW w:w="1427" w:type="dxa"/>
            <w:vMerge w:val="continue"/>
            <w:vAlign w:val="center"/>
          </w:tcPr>
          <w:p>
            <w:pPr>
              <w:adjustRightInd w:val="0"/>
              <w:ind w:left="210" w:hanging="210" w:hangingChars="100"/>
              <w:jc w:val="center"/>
              <w:rPr>
                <w:rFonts w:ascii="宋体" w:hAnsi="宋体" w:cs="宋体"/>
                <w:color w:val="000000" w:themeColor="text1"/>
                <w:kern w:val="0"/>
                <w14:textFill>
                  <w14:solidFill>
                    <w14:schemeClr w14:val="tx1"/>
                  </w14:solidFill>
                </w14:textFill>
              </w:rPr>
            </w:pPr>
          </w:p>
        </w:tc>
        <w:tc>
          <w:tcPr>
            <w:tcW w:w="1559" w:type="dxa"/>
            <w:tcBorders>
              <w:top w:val="single" w:color="auto" w:sz="4" w:space="0"/>
            </w:tcBorders>
            <w:vAlign w:val="center"/>
          </w:tcPr>
          <w:p>
            <w:pPr>
              <w:widowControl/>
              <w:adjustRightInd w:val="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业绩客户反馈</w:t>
            </w:r>
          </w:p>
          <w:p>
            <w:pPr>
              <w:widowControl/>
              <w:adjustRightInd w:val="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（5分）</w:t>
            </w:r>
          </w:p>
        </w:tc>
        <w:tc>
          <w:tcPr>
            <w:tcW w:w="5322" w:type="dxa"/>
            <w:tcBorders>
              <w:top w:val="single" w:color="auto" w:sz="4" w:space="0"/>
            </w:tcBorders>
            <w:vAlign w:val="center"/>
          </w:tcPr>
          <w:p>
            <w:pPr>
              <w:ind w:firstLine="294" w:firstLineChars="140"/>
              <w:jc w:val="left"/>
              <w:rPr>
                <w:rFonts w:ascii="宋体" w:hAnsi="宋体" w:cs="宋体"/>
                <w:color w:val="000000" w:themeColor="text1"/>
                <w:kern w:val="0"/>
                <w14:textFill>
                  <w14:solidFill>
                    <w14:schemeClr w14:val="tx1"/>
                  </w14:solidFill>
                </w14:textFill>
              </w:rPr>
            </w:pPr>
            <w:r>
              <w:rPr>
                <w:rFonts w:hint="eastAsia"/>
                <w:color w:val="000000" w:themeColor="text1"/>
                <w:szCs w:val="21"/>
                <w14:textFill>
                  <w14:solidFill>
                    <w14:schemeClr w14:val="tx1"/>
                  </w14:solidFill>
                </w14:textFill>
              </w:rPr>
              <w:t>近二年获得技防系统维保服务的业绩，业主单位对投标人评价为优的意见表（意见表须包含用户明确的评价意见、联系人及联系方式，对应合同，上述信息不全或者不提供，该项得分为0），每提供1份得1分，最多得5分，不提供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65" w:hRule="atLeast"/>
          <w:jc w:val="center"/>
        </w:trPr>
        <w:tc>
          <w:tcPr>
            <w:tcW w:w="1105" w:type="dxa"/>
            <w:vMerge w:val="continue"/>
            <w:vAlign w:val="center"/>
          </w:tcPr>
          <w:p>
            <w:pPr>
              <w:widowControl/>
              <w:jc w:val="center"/>
              <w:rPr>
                <w:rFonts w:ascii="宋体" w:hAnsi="宋体" w:cs="宋体"/>
                <w:bCs/>
                <w:color w:val="000000" w:themeColor="text1"/>
                <w:kern w:val="0"/>
                <w14:textFill>
                  <w14:solidFill>
                    <w14:schemeClr w14:val="tx1"/>
                  </w14:solidFill>
                </w14:textFill>
              </w:rPr>
            </w:pPr>
          </w:p>
        </w:tc>
        <w:tc>
          <w:tcPr>
            <w:tcW w:w="1427" w:type="dxa"/>
            <w:vMerge w:val="continue"/>
            <w:vAlign w:val="center"/>
          </w:tcPr>
          <w:p>
            <w:pPr>
              <w:widowControl/>
              <w:adjustRightInd w:val="0"/>
              <w:ind w:left="210" w:hanging="210" w:hangingChars="100"/>
              <w:jc w:val="center"/>
              <w:rPr>
                <w:rFonts w:ascii="宋体" w:hAnsi="宋体" w:cs="宋体"/>
                <w:color w:val="000000" w:themeColor="text1"/>
                <w:kern w:val="0"/>
                <w14:textFill>
                  <w14:solidFill>
                    <w14:schemeClr w14:val="tx1"/>
                  </w14:solidFill>
                </w14:textFill>
              </w:rPr>
            </w:pPr>
          </w:p>
        </w:tc>
        <w:tc>
          <w:tcPr>
            <w:tcW w:w="1559" w:type="dxa"/>
            <w:tcBorders>
              <w:bottom w:val="single" w:color="auto" w:sz="4" w:space="0"/>
            </w:tcBorders>
            <w:vAlign w:val="center"/>
          </w:tcPr>
          <w:p>
            <w:pPr>
              <w:widowControl/>
              <w:adjustRightInd w:val="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服务总体</w:t>
            </w:r>
          </w:p>
          <w:p>
            <w:pPr>
              <w:widowControl/>
              <w:adjustRightInd w:val="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设计方案：</w:t>
            </w:r>
          </w:p>
          <w:p>
            <w:pPr>
              <w:widowControl/>
              <w:adjustRightInd w:val="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w:t>
            </w:r>
            <w:r>
              <w:rPr>
                <w:rFonts w:ascii="宋体" w:hAnsi="宋体" w:cs="宋体"/>
                <w:color w:val="000000" w:themeColor="text1"/>
                <w:kern w:val="0"/>
                <w14:textFill>
                  <w14:solidFill>
                    <w14:schemeClr w14:val="tx1"/>
                  </w14:solidFill>
                </w14:textFill>
              </w:rPr>
              <w:t>4</w:t>
            </w:r>
            <w:r>
              <w:rPr>
                <w:rFonts w:hint="eastAsia" w:ascii="宋体" w:hAnsi="宋体" w:cs="宋体"/>
                <w:color w:val="000000" w:themeColor="text1"/>
                <w:kern w:val="0"/>
                <w14:textFill>
                  <w14:solidFill>
                    <w14:schemeClr w14:val="tx1"/>
                  </w14:solidFill>
                </w14:textFill>
              </w:rPr>
              <w:t>0分）</w:t>
            </w:r>
          </w:p>
        </w:tc>
        <w:tc>
          <w:tcPr>
            <w:tcW w:w="5322" w:type="dxa"/>
            <w:tcBorders>
              <w:bottom w:val="single" w:color="auto" w:sz="4" w:space="0"/>
            </w:tcBorders>
            <w:vAlign w:val="center"/>
          </w:tcPr>
          <w:p>
            <w:pPr>
              <w:ind w:firstLine="294" w:firstLineChars="14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根据服务整体方案合理、全面、适用性，从项目服务响应程度、项目服务实施方案、物资装备配套情况、备品备件库、可操作性等方面打分：</w:t>
            </w:r>
          </w:p>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1）项目服务响应程度优：优：5分；良：2-3分；一般：0-1分</w:t>
            </w:r>
          </w:p>
          <w:p>
            <w:pPr>
              <w:adjustRightInd w:val="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2）物资装备配套情况、备品备件库，优：</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分；良：</w:t>
            </w:r>
            <w:r>
              <w:rPr>
                <w:color w:val="000000" w:themeColor="text1"/>
                <w14:textFill>
                  <w14:solidFill>
                    <w14:schemeClr w14:val="tx1"/>
                  </w14:solidFill>
                </w14:textFill>
              </w:rPr>
              <w:t>2-3</w:t>
            </w:r>
            <w:r>
              <w:rPr>
                <w:rFonts w:hint="eastAsia"/>
                <w:color w:val="000000" w:themeColor="text1"/>
                <w14:textFill>
                  <w14:solidFill>
                    <w14:schemeClr w14:val="tx1"/>
                  </w14:solidFill>
                </w14:textFill>
              </w:rPr>
              <w:t>分；一般：</w:t>
            </w:r>
            <w:r>
              <w:rPr>
                <w:color w:val="000000" w:themeColor="text1"/>
                <w14:textFill>
                  <w14:solidFill>
                    <w14:schemeClr w14:val="tx1"/>
                  </w14:solidFill>
                </w14:textFill>
              </w:rPr>
              <w:t>0-1</w:t>
            </w:r>
            <w:r>
              <w:rPr>
                <w:rFonts w:hint="eastAsia"/>
                <w:color w:val="000000" w:themeColor="text1"/>
                <w14:textFill>
                  <w14:solidFill>
                    <w14:schemeClr w14:val="tx1"/>
                  </w14:solidFill>
                </w14:textFill>
              </w:rPr>
              <w:t>分</w:t>
            </w:r>
          </w:p>
          <w:p>
            <w:pPr>
              <w:adjustRightInd w:val="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3）对</w:t>
            </w:r>
            <w:r>
              <w:rPr>
                <w:color w:val="000000" w:themeColor="text1"/>
                <w14:textFill>
                  <w14:solidFill>
                    <w14:schemeClr w14:val="tx1"/>
                  </w14:solidFill>
                </w14:textFill>
              </w:rPr>
              <w:t>突发性事件</w:t>
            </w:r>
            <w:r>
              <w:rPr>
                <w:rFonts w:hint="eastAsia"/>
                <w:color w:val="000000" w:themeColor="text1"/>
                <w14:textFill>
                  <w14:solidFill>
                    <w14:schemeClr w14:val="tx1"/>
                  </w14:solidFill>
                </w14:textFill>
              </w:rPr>
              <w:t>的</w:t>
            </w:r>
            <w:r>
              <w:rPr>
                <w:color w:val="000000" w:themeColor="text1"/>
                <w14:textFill>
                  <w14:solidFill>
                    <w14:schemeClr w14:val="tx1"/>
                  </w14:solidFill>
                </w14:textFill>
              </w:rPr>
              <w:t>应急措施合理可行</w:t>
            </w:r>
            <w:r>
              <w:rPr>
                <w:rFonts w:hint="eastAsia"/>
                <w:color w:val="000000" w:themeColor="text1"/>
                <w14:textFill>
                  <w14:solidFill>
                    <w14:schemeClr w14:val="tx1"/>
                  </w14:solidFill>
                </w14:textFill>
              </w:rPr>
              <w:t>，优：</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分；良：</w:t>
            </w:r>
            <w:r>
              <w:rPr>
                <w:color w:val="000000" w:themeColor="text1"/>
                <w14:textFill>
                  <w14:solidFill>
                    <w14:schemeClr w14:val="tx1"/>
                  </w14:solidFill>
                </w14:textFill>
              </w:rPr>
              <w:t>2-3</w:t>
            </w:r>
            <w:r>
              <w:rPr>
                <w:rFonts w:hint="eastAsia"/>
                <w:color w:val="000000" w:themeColor="text1"/>
                <w14:textFill>
                  <w14:solidFill>
                    <w14:schemeClr w14:val="tx1"/>
                  </w14:solidFill>
                </w14:textFill>
              </w:rPr>
              <w:t>分；一般：</w:t>
            </w:r>
            <w:r>
              <w:rPr>
                <w:color w:val="000000" w:themeColor="text1"/>
                <w14:textFill>
                  <w14:solidFill>
                    <w14:schemeClr w14:val="tx1"/>
                  </w14:solidFill>
                </w14:textFill>
              </w:rPr>
              <w:t>0-1</w:t>
            </w:r>
            <w:r>
              <w:rPr>
                <w:rFonts w:hint="eastAsia"/>
                <w:color w:val="000000" w:themeColor="text1"/>
                <w14:textFill>
                  <w14:solidFill>
                    <w14:schemeClr w14:val="tx1"/>
                  </w14:solidFill>
                </w14:textFill>
              </w:rPr>
              <w:t>分</w:t>
            </w:r>
          </w:p>
          <w:p>
            <w:pPr>
              <w:adjustRightInd w:val="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4）投标单位需提供综合维保方案，包括项目现状、系统架构、针对本项目的重点难点及解决方案、合理化建议等。由招标小组根据投标人提供的方案进行比较综合评定打分。优：</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分；良：</w:t>
            </w:r>
            <w:r>
              <w:rPr>
                <w:color w:val="000000" w:themeColor="text1"/>
                <w14:textFill>
                  <w14:solidFill>
                    <w14:schemeClr w14:val="tx1"/>
                  </w14:solidFill>
                </w14:textFill>
              </w:rPr>
              <w:t>2-3</w:t>
            </w:r>
            <w:r>
              <w:rPr>
                <w:rFonts w:hint="eastAsia"/>
                <w:color w:val="000000" w:themeColor="text1"/>
                <w14:textFill>
                  <w14:solidFill>
                    <w14:schemeClr w14:val="tx1"/>
                  </w14:solidFill>
                </w14:textFill>
              </w:rPr>
              <w:t>分；一般：</w:t>
            </w:r>
            <w:r>
              <w:rPr>
                <w:color w:val="000000" w:themeColor="text1"/>
                <w14:textFill>
                  <w14:solidFill>
                    <w14:schemeClr w14:val="tx1"/>
                  </w14:solidFill>
                </w14:textFill>
              </w:rPr>
              <w:t>0-1</w:t>
            </w:r>
            <w:r>
              <w:rPr>
                <w:rFonts w:hint="eastAsia"/>
                <w:color w:val="000000" w:themeColor="text1"/>
                <w14:textFill>
                  <w14:solidFill>
                    <w14:schemeClr w14:val="tx1"/>
                  </w14:solidFill>
                </w14:textFill>
              </w:rPr>
              <w:t>分</w:t>
            </w:r>
          </w:p>
          <w:p>
            <w:pPr>
              <w:pStyle w:val="2"/>
              <w:ind w:left="0" w:leftChars="0"/>
              <w:rPr>
                <w:color w:val="000000" w:themeColor="text1"/>
                <w14:textFill>
                  <w14:solidFill>
                    <w14:schemeClr w14:val="tx1"/>
                  </w14:solidFill>
                </w14:textFill>
              </w:rPr>
            </w:pPr>
            <w:r>
              <w:rPr>
                <w:rFonts w:hint="eastAsia"/>
                <w:color w:val="000000" w:themeColor="text1"/>
                <w14:textFill>
                  <w14:solidFill>
                    <w14:schemeClr w14:val="tx1"/>
                  </w14:solidFill>
                </w14:textFill>
              </w:rPr>
              <w:t>5）对</w:t>
            </w:r>
            <w:r>
              <w:rPr>
                <w:color w:val="000000" w:themeColor="text1"/>
                <w14:textFill>
                  <w14:solidFill>
                    <w14:schemeClr w14:val="tx1"/>
                  </w14:solidFill>
                </w14:textFill>
              </w:rPr>
              <w:t>目前安防系统存在问题及优化建议</w:t>
            </w:r>
            <w:r>
              <w:rPr>
                <w:rFonts w:hint="eastAsia"/>
                <w:color w:val="000000" w:themeColor="text1"/>
                <w14:textFill>
                  <w14:solidFill>
                    <w14:schemeClr w14:val="tx1"/>
                  </w14:solidFill>
                </w14:textFill>
              </w:rPr>
              <w:t>，</w:t>
            </w:r>
            <w:r>
              <w:rPr>
                <w:color w:val="000000" w:themeColor="text1"/>
                <w:szCs w:val="21"/>
                <w14:textFill>
                  <w14:solidFill>
                    <w14:schemeClr w14:val="tx1"/>
                  </w14:solidFill>
                </w14:textFill>
              </w:rPr>
              <w:t>投标单位分别从系统运行现状、常见故障排除方法，对可能影响系统运行的重要隐患问题等方面提供合理化解决方案</w:t>
            </w:r>
            <w:r>
              <w:rPr>
                <w:rFonts w:hint="eastAsia"/>
                <w:color w:val="000000" w:themeColor="text1"/>
                <w:szCs w:val="21"/>
                <w:lang w:eastAsia="zh-CN"/>
                <w14:textFill>
                  <w14:solidFill>
                    <w14:schemeClr w14:val="tx1"/>
                  </w14:solidFill>
                </w14:textFill>
              </w:rPr>
              <w:t>。</w:t>
            </w:r>
            <w:r>
              <w:rPr>
                <w:color w:val="000000" w:themeColor="text1"/>
                <w:szCs w:val="21"/>
                <w14:textFill>
                  <w14:solidFill>
                    <w14:schemeClr w14:val="tx1"/>
                  </w14:solidFill>
                </w14:textFill>
              </w:rPr>
              <w:t>本项目共20分。</w:t>
            </w:r>
            <w:r>
              <w:rPr>
                <w:rFonts w:hint="eastAsia"/>
                <w:color w:val="000000" w:themeColor="text1"/>
                <w14:textFill>
                  <w14:solidFill>
                    <w14:schemeClr w14:val="tx1"/>
                  </w14:solidFill>
                </w14:textFill>
              </w:rPr>
              <w:t>优：</w:t>
            </w:r>
            <w:r>
              <w:rPr>
                <w:rFonts w:hint="eastAsia"/>
                <w:color w:val="000000" w:themeColor="text1"/>
                <w:lang w:val="en-US" w:eastAsia="zh-CN"/>
                <w14:textFill>
                  <w14:solidFill>
                    <w14:schemeClr w14:val="tx1"/>
                  </w14:solidFill>
                </w14:textFill>
              </w:rPr>
              <w:t>18-20</w:t>
            </w:r>
            <w:r>
              <w:rPr>
                <w:rFonts w:hint="eastAsia"/>
                <w:color w:val="000000" w:themeColor="text1"/>
                <w14:textFill>
                  <w14:solidFill>
                    <w14:schemeClr w14:val="tx1"/>
                  </w14:solidFill>
                </w14:textFill>
              </w:rPr>
              <w:t>分；良：</w:t>
            </w:r>
            <w:r>
              <w:rPr>
                <w:rFonts w:hint="eastAsia"/>
                <w:color w:val="000000" w:themeColor="text1"/>
                <w:lang w:val="en-US" w:eastAsia="zh-CN"/>
                <w14:textFill>
                  <w14:solidFill>
                    <w14:schemeClr w14:val="tx1"/>
                  </w14:solidFill>
                </w14:textFill>
              </w:rPr>
              <w:t>10</w:t>
            </w:r>
            <w:r>
              <w:rPr>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13</w:t>
            </w:r>
            <w:r>
              <w:rPr>
                <w:rFonts w:hint="eastAsia"/>
                <w:color w:val="000000" w:themeColor="text1"/>
                <w14:textFill>
                  <w14:solidFill>
                    <w14:schemeClr w14:val="tx1"/>
                  </w14:solidFill>
                </w14:textFill>
              </w:rPr>
              <w:t>分；一般：</w:t>
            </w:r>
            <w:r>
              <w:rPr>
                <w:color w:val="000000" w:themeColor="text1"/>
                <w14:textFill>
                  <w14:solidFill>
                    <w14:schemeClr w14:val="tx1"/>
                  </w14:solidFill>
                </w14:textFill>
              </w:rPr>
              <w:t>0-</w:t>
            </w:r>
            <w:r>
              <w:rPr>
                <w:rFonts w:hint="eastAsia"/>
                <w:color w:val="000000" w:themeColor="text1"/>
                <w:lang w:val="en-US" w:eastAsia="zh-CN"/>
                <w14:textFill>
                  <w14:solidFill>
                    <w14:schemeClr w14:val="tx1"/>
                  </w14:solidFill>
                </w14:textFill>
              </w:rPr>
              <w:t>9</w:t>
            </w:r>
            <w:r>
              <w:rPr>
                <w:rFonts w:hint="eastAsia"/>
                <w:color w:val="000000" w:themeColor="text1"/>
                <w14:textFill>
                  <w14:solidFill>
                    <w14:schemeClr w14:val="tx1"/>
                  </w14:solidFill>
                </w14:textFill>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99" w:hRule="atLeast"/>
          <w:jc w:val="center"/>
        </w:trPr>
        <w:tc>
          <w:tcPr>
            <w:tcW w:w="1105" w:type="dxa"/>
            <w:vMerge w:val="continue"/>
            <w:vAlign w:val="center"/>
          </w:tcPr>
          <w:p>
            <w:pPr>
              <w:widowControl/>
              <w:jc w:val="center"/>
              <w:rPr>
                <w:rFonts w:ascii="宋体" w:hAnsi="宋体" w:cs="宋体"/>
                <w:bCs/>
                <w:color w:val="000000" w:themeColor="text1"/>
                <w:kern w:val="0"/>
                <w14:textFill>
                  <w14:solidFill>
                    <w14:schemeClr w14:val="tx1"/>
                  </w14:solidFill>
                </w14:textFill>
              </w:rPr>
            </w:pPr>
          </w:p>
        </w:tc>
        <w:tc>
          <w:tcPr>
            <w:tcW w:w="1427" w:type="dxa"/>
            <w:vMerge w:val="continue"/>
            <w:vAlign w:val="center"/>
          </w:tcPr>
          <w:p>
            <w:pPr>
              <w:widowControl/>
              <w:adjustRightInd w:val="0"/>
              <w:jc w:val="left"/>
              <w:rPr>
                <w:rFonts w:ascii="宋体" w:hAnsi="宋体" w:cs="宋体"/>
                <w:color w:val="000000" w:themeColor="text1"/>
                <w:kern w:val="0"/>
                <w14:textFill>
                  <w14:solidFill>
                    <w14:schemeClr w14:val="tx1"/>
                  </w14:solidFill>
                </w14:textFill>
              </w:rPr>
            </w:pPr>
          </w:p>
        </w:tc>
        <w:tc>
          <w:tcPr>
            <w:tcW w:w="1559" w:type="dxa"/>
            <w:tcBorders>
              <w:top w:val="single" w:color="auto" w:sz="4" w:space="0"/>
            </w:tcBorders>
            <w:vAlign w:val="center"/>
          </w:tcPr>
          <w:p>
            <w:pPr>
              <w:widowControl/>
              <w:adjustRightInd w:val="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技术支持与</w:t>
            </w:r>
          </w:p>
          <w:p>
            <w:pPr>
              <w:adjustRightInd w:val="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培训（</w:t>
            </w:r>
            <w:r>
              <w:rPr>
                <w:rFonts w:ascii="宋体" w:hAnsi="宋体" w:cs="宋体"/>
                <w:color w:val="000000" w:themeColor="text1"/>
                <w:kern w:val="0"/>
                <w14:textFill>
                  <w14:solidFill>
                    <w14:schemeClr w14:val="tx1"/>
                  </w14:solidFill>
                </w14:textFill>
              </w:rPr>
              <w:t>1</w:t>
            </w:r>
            <w:r>
              <w:rPr>
                <w:rFonts w:hint="eastAsia" w:ascii="宋体" w:hAnsi="宋体" w:cs="宋体"/>
                <w:color w:val="000000" w:themeColor="text1"/>
                <w:kern w:val="0"/>
                <w14:textFill>
                  <w14:solidFill>
                    <w14:schemeClr w14:val="tx1"/>
                  </w14:solidFill>
                </w14:textFill>
              </w:rPr>
              <w:t>0分）</w:t>
            </w:r>
          </w:p>
        </w:tc>
        <w:tc>
          <w:tcPr>
            <w:tcW w:w="5322" w:type="dxa"/>
            <w:tcBorders>
              <w:top w:val="single" w:color="auto" w:sz="4" w:space="0"/>
            </w:tcBorders>
            <w:vAlign w:val="center"/>
          </w:tcPr>
          <w:p>
            <w:pPr>
              <w:adjustRightInd w:val="0"/>
              <w:ind w:firstLine="210" w:firstLineChars="10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本地企业或在苏州有分支机构（含常驻维修服务站）得5分。提供相关证明</w:t>
            </w:r>
          </w:p>
          <w:p>
            <w:pPr>
              <w:adjustRightInd w:val="0"/>
              <w:ind w:firstLine="294" w:firstLineChars="14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对监控室人员进行正确使用的培训。评委根据投标人提交的培训方案酌情打分。优：5分；良：4分；差：2分；未提供不得分。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4" w:hRule="atLeast"/>
          <w:jc w:val="center"/>
        </w:trPr>
        <w:tc>
          <w:tcPr>
            <w:tcW w:w="1105" w:type="dxa"/>
            <w:vMerge w:val="continue"/>
            <w:vAlign w:val="center"/>
          </w:tcPr>
          <w:p>
            <w:pPr>
              <w:widowControl/>
              <w:jc w:val="center"/>
              <w:rPr>
                <w:rFonts w:ascii="宋体" w:hAnsi="宋体" w:cs="宋体"/>
                <w:bCs/>
                <w:color w:val="000000" w:themeColor="text1"/>
                <w:kern w:val="0"/>
                <w14:textFill>
                  <w14:solidFill>
                    <w14:schemeClr w14:val="tx1"/>
                  </w14:solidFill>
                </w14:textFill>
              </w:rPr>
            </w:pPr>
          </w:p>
        </w:tc>
        <w:tc>
          <w:tcPr>
            <w:tcW w:w="1427" w:type="dxa"/>
            <w:vMerge w:val="continue"/>
            <w:vAlign w:val="center"/>
          </w:tcPr>
          <w:p>
            <w:pPr>
              <w:widowControl/>
              <w:numPr>
                <w:ilvl w:val="0"/>
                <w:numId w:val="3"/>
              </w:numPr>
              <w:adjustRightInd w:val="0"/>
              <w:jc w:val="left"/>
              <w:rPr>
                <w:rFonts w:ascii="宋体" w:hAnsi="宋体" w:cs="宋体"/>
                <w:color w:val="000000" w:themeColor="text1"/>
                <w:kern w:val="0"/>
                <w14:textFill>
                  <w14:solidFill>
                    <w14:schemeClr w14:val="tx1"/>
                  </w14:solidFill>
                </w14:textFill>
              </w:rPr>
            </w:pPr>
          </w:p>
        </w:tc>
        <w:tc>
          <w:tcPr>
            <w:tcW w:w="1559" w:type="dxa"/>
            <w:tcBorders>
              <w:top w:val="single" w:color="auto" w:sz="4" w:space="0"/>
              <w:bottom w:val="single" w:color="auto" w:sz="4" w:space="0"/>
            </w:tcBorders>
            <w:vAlign w:val="center"/>
          </w:tcPr>
          <w:p>
            <w:pPr>
              <w:widowControl/>
              <w:adjustRightInd w:val="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维保承诺</w:t>
            </w:r>
          </w:p>
          <w:p>
            <w:pPr>
              <w:widowControl/>
              <w:adjustRightInd w:val="0"/>
              <w:jc w:val="center"/>
              <w:rPr>
                <w:rFonts w:ascii="宋体" w:hAnsi="宋体" w:cs="宋体"/>
                <w:bCs/>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（10分）</w:t>
            </w:r>
          </w:p>
        </w:tc>
        <w:tc>
          <w:tcPr>
            <w:tcW w:w="5322" w:type="dxa"/>
            <w:tcBorders>
              <w:top w:val="single" w:color="auto" w:sz="4" w:space="0"/>
              <w:bottom w:val="single" w:color="auto" w:sz="4" w:space="0"/>
            </w:tcBorders>
            <w:vAlign w:val="center"/>
          </w:tcPr>
          <w:p>
            <w:pPr>
              <w:ind w:firstLine="294" w:firstLineChars="14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因维保不当原因造成安防系统重大故障的承诺及扣罚措施</w:t>
            </w:r>
          </w:p>
          <w:p>
            <w:pPr>
              <w:jc w:val="left"/>
              <w:rPr>
                <w:rFonts w:ascii="宋体" w:hAnsi="宋体" w:cs="宋体"/>
                <w:color w:val="000000" w:themeColor="text1"/>
                <w:kern w:val="0"/>
                <w14:textFill>
                  <w14:solidFill>
                    <w14:schemeClr w14:val="tx1"/>
                  </w14:solidFill>
                </w14:textFill>
              </w:rPr>
            </w:pPr>
            <w:r>
              <w:rPr>
                <w:rFonts w:hint="eastAsia"/>
                <w:color w:val="000000" w:themeColor="text1"/>
                <w:szCs w:val="21"/>
                <w14:textFill>
                  <w14:solidFill>
                    <w14:schemeClr w14:val="tx1"/>
                  </w14:solidFill>
                </w14:textFill>
              </w:rPr>
              <w:t>优：10分；良：7分；差：4分；未提供不得分</w:t>
            </w:r>
          </w:p>
        </w:tc>
      </w:tr>
    </w:tbl>
    <w:p>
      <w:pPr>
        <w:ind w:firstLine="357" w:firstLineChars="149"/>
        <w:rPr>
          <w:rFonts w:ascii="宋体" w:hAnsi="宋体" w:cs="宋体"/>
          <w:bCs/>
          <w:color w:val="000000" w:themeColor="text1"/>
          <w:sz w:val="24"/>
          <w14:textFill>
            <w14:solidFill>
              <w14:schemeClr w14:val="tx1"/>
            </w14:solidFill>
          </w14:textFill>
        </w:rPr>
      </w:pPr>
    </w:p>
    <w:p>
      <w:pPr>
        <w:ind w:firstLine="357" w:firstLineChars="149"/>
        <w:rPr>
          <w:rFonts w:ascii="宋体" w:hAnsi="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备注：</w:t>
      </w:r>
    </w:p>
    <w:p>
      <w:pPr>
        <w:spacing w:line="360" w:lineRule="auto"/>
        <w:ind w:firstLine="424" w:firstLineChars="177"/>
        <w:outlineLvl w:val="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.评分过程中如出现小数点后三位，采用四舍五入法，最终保留两位小数；</w:t>
      </w:r>
    </w:p>
    <w:p>
      <w:pPr>
        <w:spacing w:line="360" w:lineRule="auto"/>
        <w:ind w:firstLine="424" w:firstLineChars="177"/>
        <w:outlineLvl w:val="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2.以上评分细则中要求提供的材料和复印件必须装订在标书中。</w:t>
      </w:r>
    </w:p>
    <w:p>
      <w:pPr>
        <w:autoSpaceDE w:val="0"/>
        <w:autoSpaceDN w:val="0"/>
        <w:adjustRightInd w:val="0"/>
        <w:spacing w:line="360" w:lineRule="auto"/>
        <w:ind w:firstLine="360" w:firstLineChars="150"/>
        <w:jc w:val="left"/>
        <w:rPr>
          <w:rStyle w:val="34"/>
          <w:u w:color="000000"/>
        </w:rPr>
      </w:pPr>
      <w:r>
        <w:rPr>
          <w:rFonts w:ascii="宋体" w:hAnsi="宋体"/>
          <w:color w:val="000000" w:themeColor="text1"/>
          <w:sz w:val="24"/>
          <w14:textFill>
            <w14:solidFill>
              <w14:schemeClr w14:val="tx1"/>
            </w14:solidFill>
          </w14:textFill>
        </w:rPr>
        <w:t>四、</w:t>
      </w:r>
      <w:r>
        <w:rPr>
          <w:rFonts w:hint="eastAsia" w:ascii="宋体" w:hAnsi="宋体"/>
          <w:color w:val="000000" w:themeColor="text1"/>
          <w:sz w:val="24"/>
          <w14:textFill>
            <w14:solidFill>
              <w14:schemeClr w14:val="tx1"/>
            </w14:solidFill>
          </w14:textFill>
        </w:rPr>
        <w:t>有下列情形之一的，视为投标人串通投标</w:t>
      </w:r>
      <w:r>
        <w:rPr>
          <w:rFonts w:hint="eastAsia" w:ascii="宋体" w:hAnsi="宋体"/>
          <w:sz w:val="24"/>
        </w:rPr>
        <w:t>，其投标无效：</w:t>
      </w:r>
    </w:p>
    <w:p>
      <w:pPr>
        <w:autoSpaceDE w:val="0"/>
        <w:autoSpaceDN w:val="0"/>
        <w:adjustRightInd w:val="0"/>
        <w:spacing w:line="360" w:lineRule="auto"/>
        <w:ind w:firstLine="424" w:firstLineChars="177"/>
        <w:jc w:val="left"/>
      </w:pPr>
      <w:r>
        <w:rPr>
          <w:rFonts w:hint="eastAsia" w:ascii="宋体" w:hAnsi="宋体"/>
          <w:sz w:val="24"/>
        </w:rPr>
        <w:t>1.不同投标人的投标文件由同一单位或者个人编制；</w:t>
      </w:r>
    </w:p>
    <w:p>
      <w:pPr>
        <w:autoSpaceDE w:val="0"/>
        <w:autoSpaceDN w:val="0"/>
        <w:adjustRightInd w:val="0"/>
        <w:spacing w:line="360" w:lineRule="auto"/>
        <w:ind w:firstLine="424" w:firstLineChars="177"/>
        <w:jc w:val="left"/>
        <w:rPr>
          <w:rFonts w:ascii="宋体" w:hAnsi="宋体"/>
          <w:sz w:val="24"/>
        </w:rPr>
      </w:pPr>
      <w:r>
        <w:rPr>
          <w:rFonts w:hint="eastAsia" w:ascii="宋体" w:hAnsi="宋体"/>
          <w:sz w:val="24"/>
        </w:rPr>
        <w:t>2.不同投标人委托同一单位或者个人办理投标事宜；</w:t>
      </w:r>
    </w:p>
    <w:p>
      <w:pPr>
        <w:autoSpaceDE w:val="0"/>
        <w:autoSpaceDN w:val="0"/>
        <w:adjustRightInd w:val="0"/>
        <w:spacing w:line="360" w:lineRule="auto"/>
        <w:ind w:firstLine="424" w:firstLineChars="177"/>
        <w:jc w:val="left"/>
        <w:rPr>
          <w:rFonts w:ascii="宋体" w:hAnsi="宋体"/>
          <w:sz w:val="24"/>
        </w:rPr>
      </w:pPr>
      <w:r>
        <w:rPr>
          <w:rFonts w:hint="eastAsia" w:ascii="宋体" w:hAnsi="宋体"/>
          <w:sz w:val="24"/>
        </w:rPr>
        <w:t>3.不同投标人的投标文件载明的项目管理成员或者联系人员为同一人；</w:t>
      </w:r>
    </w:p>
    <w:p>
      <w:pPr>
        <w:autoSpaceDE w:val="0"/>
        <w:autoSpaceDN w:val="0"/>
        <w:adjustRightInd w:val="0"/>
        <w:spacing w:line="360" w:lineRule="auto"/>
        <w:ind w:firstLine="424" w:firstLineChars="177"/>
        <w:jc w:val="left"/>
        <w:rPr>
          <w:rFonts w:ascii="宋体" w:hAnsi="宋体"/>
          <w:sz w:val="24"/>
        </w:rPr>
      </w:pPr>
      <w:r>
        <w:rPr>
          <w:rFonts w:hint="eastAsia" w:ascii="宋体" w:hAnsi="宋体"/>
          <w:sz w:val="24"/>
        </w:rPr>
        <w:t>4.不同投标人的投标文件异常一致或者投标报价呈规律性差异；</w:t>
      </w:r>
    </w:p>
    <w:p>
      <w:pPr>
        <w:autoSpaceDE w:val="0"/>
        <w:autoSpaceDN w:val="0"/>
        <w:adjustRightInd w:val="0"/>
        <w:spacing w:line="360" w:lineRule="auto"/>
        <w:ind w:firstLine="424" w:firstLineChars="177"/>
        <w:jc w:val="left"/>
        <w:rPr>
          <w:rFonts w:ascii="宋体" w:hAnsi="宋体"/>
          <w:sz w:val="24"/>
        </w:rPr>
      </w:pPr>
      <w:r>
        <w:rPr>
          <w:rFonts w:hint="eastAsia" w:ascii="宋体" w:hAnsi="宋体"/>
          <w:sz w:val="24"/>
        </w:rPr>
        <w:t>5.不同投标人的投标文件相互混装；</w:t>
      </w:r>
    </w:p>
    <w:p>
      <w:pPr>
        <w:autoSpaceDE w:val="0"/>
        <w:autoSpaceDN w:val="0"/>
        <w:adjustRightInd w:val="0"/>
        <w:spacing w:line="360" w:lineRule="auto"/>
        <w:ind w:firstLine="424" w:firstLineChars="177"/>
        <w:jc w:val="left"/>
        <w:rPr>
          <w:rFonts w:ascii="宋体" w:hAnsi="宋体"/>
          <w:sz w:val="24"/>
        </w:rPr>
      </w:pPr>
      <w:r>
        <w:rPr>
          <w:rFonts w:hint="eastAsia" w:ascii="宋体" w:hAnsi="宋体"/>
          <w:sz w:val="24"/>
        </w:rPr>
        <w:t>6.不同投标人的投标保证金从同一单位或者个人的账户转出；</w:t>
      </w:r>
    </w:p>
    <w:p>
      <w:pPr>
        <w:autoSpaceDE w:val="0"/>
        <w:autoSpaceDN w:val="0"/>
        <w:adjustRightInd w:val="0"/>
        <w:spacing w:line="360" w:lineRule="auto"/>
        <w:ind w:firstLine="360" w:firstLineChars="150"/>
        <w:jc w:val="left"/>
        <w:rPr>
          <w:rFonts w:ascii="宋体" w:hAnsi="宋体"/>
          <w:sz w:val="24"/>
        </w:rPr>
      </w:pPr>
      <w:r>
        <w:rPr>
          <w:rFonts w:hint="eastAsia" w:ascii="宋体" w:hAnsi="宋体"/>
          <w:sz w:val="24"/>
        </w:rPr>
        <w:t>五、</w:t>
      </w:r>
      <w:r>
        <w:rPr>
          <w:rFonts w:ascii="宋体" w:hAnsi="宋体"/>
          <w:sz w:val="24"/>
        </w:rPr>
        <w:t>其他注意事项</w:t>
      </w:r>
    </w:p>
    <w:p>
      <w:pPr>
        <w:spacing w:line="360" w:lineRule="auto"/>
        <w:ind w:firstLine="424" w:firstLineChars="177"/>
        <w:rPr>
          <w:rStyle w:val="34"/>
          <w:u w:color="000000"/>
        </w:rPr>
      </w:pPr>
      <w:r>
        <w:rPr>
          <w:rStyle w:val="34"/>
          <w:u w:color="000000"/>
        </w:rPr>
        <w:t>1</w:t>
      </w:r>
      <w:r>
        <w:rPr>
          <w:rStyle w:val="34"/>
          <w:rFonts w:hint="eastAsia"/>
          <w:u w:color="000000"/>
          <w:lang w:eastAsia="zh-CN"/>
        </w:rPr>
        <w:t>.招标方</w:t>
      </w:r>
      <w:r>
        <w:rPr>
          <w:rStyle w:val="34"/>
          <w:u w:color="000000"/>
        </w:rPr>
        <w:t>不向未中标方解释未中标原因，不退还投标文件。</w:t>
      </w:r>
    </w:p>
    <w:p>
      <w:pPr>
        <w:spacing w:line="360" w:lineRule="auto"/>
        <w:ind w:firstLine="424" w:firstLineChars="177"/>
        <w:rPr>
          <w:rStyle w:val="34"/>
          <w:u w:color="000000"/>
        </w:rPr>
      </w:pPr>
      <w:r>
        <w:rPr>
          <w:rStyle w:val="34"/>
          <w:u w:color="000000"/>
        </w:rPr>
        <w:t>2</w:t>
      </w:r>
      <w:r>
        <w:rPr>
          <w:rStyle w:val="34"/>
          <w:rFonts w:hint="eastAsia"/>
          <w:u w:color="000000"/>
          <w:lang w:eastAsia="zh-CN"/>
        </w:rPr>
        <w:t>.</w:t>
      </w:r>
      <w:r>
        <w:rPr>
          <w:rStyle w:val="34"/>
          <w:u w:color="000000"/>
        </w:rPr>
        <w:t>若出现少于三家投标方进行投标的</w:t>
      </w:r>
      <w:r>
        <w:rPr>
          <w:rStyle w:val="34"/>
          <w:rFonts w:hint="eastAsia"/>
          <w:u w:color="000000"/>
        </w:rPr>
        <w:t>或有效投标不足三家的</w:t>
      </w:r>
      <w:r>
        <w:rPr>
          <w:rStyle w:val="34"/>
          <w:u w:color="000000"/>
        </w:rPr>
        <w:t>，将重新招标或采取其他方式采购。</w:t>
      </w:r>
    </w:p>
    <w:p>
      <w:pPr>
        <w:spacing w:line="360" w:lineRule="auto"/>
        <w:ind w:firstLine="424" w:firstLineChars="177"/>
        <w:rPr>
          <w:rStyle w:val="34"/>
          <w:u w:color="000000"/>
        </w:rPr>
      </w:pPr>
      <w:r>
        <w:rPr>
          <w:rStyle w:val="34"/>
          <w:u w:color="000000"/>
        </w:rPr>
        <w:t>3</w:t>
      </w:r>
      <w:r>
        <w:rPr>
          <w:rStyle w:val="34"/>
          <w:rFonts w:hint="eastAsia"/>
          <w:u w:color="000000"/>
          <w:lang w:eastAsia="zh-CN"/>
        </w:rPr>
        <w:t>.</w:t>
      </w:r>
      <w:r>
        <w:rPr>
          <w:rStyle w:val="34"/>
          <w:u w:color="000000"/>
        </w:rPr>
        <w:t>投标方应承担所有与准备和参加投标有关的费用，不论投标的结果如何，招标方均无义务和责任承担相关费用。</w:t>
      </w:r>
    </w:p>
    <w:p>
      <w:pPr>
        <w:spacing w:line="440" w:lineRule="exact"/>
        <w:ind w:firstLine="424" w:firstLineChars="177"/>
        <w:rPr>
          <w:rFonts w:ascii="宋体" w:hAnsi="宋体" w:cs="宋体"/>
          <w:sz w:val="24"/>
          <w:u w:color="000000"/>
          <w:lang w:val="zh-TW" w:eastAsia="zh-TW"/>
        </w:rPr>
      </w:pPr>
      <w:r>
        <w:rPr>
          <w:rStyle w:val="34"/>
          <w:rFonts w:hint="eastAsia"/>
          <w:u w:color="000000"/>
          <w:lang w:eastAsia="zh-CN"/>
        </w:rPr>
        <w:t>4.</w:t>
      </w:r>
      <w:r>
        <w:rPr>
          <w:rStyle w:val="34"/>
          <w:rFonts w:hint="eastAsia"/>
          <w:u w:color="000000"/>
        </w:rPr>
        <w:t>投标人不遵守《中华人民共和国招标投标法》、《中华人民共和国招标投标法实施条例》、《政府采购货物和服务招投标管理办法》有关规定，或有串通投标、弄虚作假行为的，其投标一律无效。</w:t>
      </w:r>
    </w:p>
    <w:p>
      <w:pPr>
        <w:pStyle w:val="44"/>
        <w:spacing w:line="360" w:lineRule="auto"/>
        <w:jc w:val="center"/>
        <w:rPr>
          <w:rFonts w:ascii="宋体" w:hAnsi="宋体"/>
          <w:sz w:val="24"/>
          <w:szCs w:val="24"/>
        </w:rPr>
      </w:pPr>
    </w:p>
    <w:p>
      <w:pPr>
        <w:pStyle w:val="44"/>
        <w:spacing w:line="360" w:lineRule="auto"/>
        <w:jc w:val="center"/>
        <w:rPr>
          <w:rFonts w:ascii="宋体" w:hAnsi="宋体"/>
          <w:sz w:val="24"/>
          <w:szCs w:val="24"/>
        </w:rPr>
      </w:pPr>
      <w:r>
        <w:rPr>
          <w:rFonts w:hint="eastAsia" w:ascii="宋体" w:hAnsi="宋体"/>
          <w:sz w:val="24"/>
          <w:szCs w:val="24"/>
        </w:rPr>
        <w:t>第四部分</w:t>
      </w:r>
      <w:r>
        <w:rPr>
          <w:rFonts w:ascii="宋体" w:hAnsi="宋体"/>
          <w:sz w:val="24"/>
          <w:szCs w:val="24"/>
        </w:rPr>
        <w:t xml:space="preserve">  投标文件格式</w:t>
      </w:r>
    </w:p>
    <w:p>
      <w:pPr>
        <w:pStyle w:val="44"/>
        <w:spacing w:line="360" w:lineRule="auto"/>
        <w:rPr>
          <w:rFonts w:ascii="宋体" w:hAnsi="宋体"/>
          <w:sz w:val="24"/>
          <w:szCs w:val="24"/>
        </w:rPr>
      </w:pPr>
    </w:p>
    <w:p>
      <w:pPr>
        <w:spacing w:line="420" w:lineRule="exact"/>
        <w:rPr>
          <w:b/>
          <w:bCs/>
        </w:rPr>
      </w:pPr>
      <w:r>
        <w:rPr>
          <w:b/>
          <w:bCs/>
        </w:rPr>
        <w:t>格式1：</w:t>
      </w:r>
    </w:p>
    <w:p>
      <w:pPr>
        <w:spacing w:line="360" w:lineRule="auto"/>
        <w:jc w:val="center"/>
        <w:rPr>
          <w:sz w:val="32"/>
          <w:szCs w:val="32"/>
        </w:rPr>
      </w:pPr>
      <w:r>
        <w:rPr>
          <w:rFonts w:hint="eastAsia"/>
          <w:b/>
          <w:bCs/>
          <w:sz w:val="32"/>
          <w:szCs w:val="32"/>
        </w:rPr>
        <w:t>招标</w:t>
      </w:r>
      <w:r>
        <w:rPr>
          <w:b/>
          <w:bCs/>
          <w:sz w:val="32"/>
          <w:szCs w:val="32"/>
        </w:rPr>
        <w:t>响应报价表</w:t>
      </w:r>
    </w:p>
    <w:p>
      <w:pPr>
        <w:spacing w:line="360" w:lineRule="auto"/>
        <w:rPr>
          <w:szCs w:val="21"/>
        </w:rPr>
      </w:pPr>
      <w:r>
        <w:rPr>
          <w:szCs w:val="21"/>
        </w:rPr>
        <w:t>报价项目名称：</w:t>
      </w:r>
      <w:r>
        <w:rPr>
          <w:szCs w:val="21"/>
          <w:u w:val="single"/>
        </w:rPr>
        <w:t xml:space="preserve">               </w:t>
      </w:r>
      <w:r>
        <w:rPr>
          <w:szCs w:val="21"/>
        </w:rPr>
        <w:t xml:space="preserve">             采购编号：</w:t>
      </w:r>
      <w:r>
        <w:rPr>
          <w:rFonts w:hint="eastAsia"/>
          <w:szCs w:val="21"/>
        </w:rPr>
        <w:t>SGYBWK2022-1</w:t>
      </w:r>
      <w:r>
        <w:rPr>
          <w:szCs w:val="21"/>
        </w:rPr>
        <w:t>号</w:t>
      </w:r>
    </w:p>
    <w:p>
      <w:pPr>
        <w:spacing w:line="360" w:lineRule="auto"/>
        <w:rPr>
          <w:szCs w:val="21"/>
          <w:u w:val="single"/>
        </w:rPr>
      </w:pPr>
      <w:r>
        <w:rPr>
          <w:szCs w:val="21"/>
        </w:rPr>
        <w:t>供应商（盖章）：</w:t>
      </w:r>
    </w:p>
    <w:p>
      <w:pPr>
        <w:spacing w:line="360" w:lineRule="auto"/>
        <w:ind w:firstLine="3771" w:firstLineChars="1796"/>
      </w:pPr>
    </w:p>
    <w:tbl>
      <w:tblPr>
        <w:tblStyle w:val="16"/>
        <w:tblW w:w="0" w:type="auto"/>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197"/>
        <w:gridCol w:w="1748"/>
        <w:gridCol w:w="2126"/>
        <w:gridCol w:w="1928"/>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846" w:type="dxa"/>
            <w:vAlign w:val="center"/>
          </w:tcPr>
          <w:p>
            <w:pPr>
              <w:jc w:val="center"/>
              <w:rPr>
                <w:spacing w:val="20"/>
                <w:szCs w:val="21"/>
              </w:rPr>
            </w:pPr>
            <w:r>
              <w:rPr>
                <w:spacing w:val="20"/>
                <w:szCs w:val="21"/>
              </w:rPr>
              <w:t>序号</w:t>
            </w:r>
          </w:p>
        </w:tc>
        <w:tc>
          <w:tcPr>
            <w:tcW w:w="2945" w:type="dxa"/>
            <w:gridSpan w:val="2"/>
            <w:vAlign w:val="center"/>
          </w:tcPr>
          <w:p>
            <w:pPr>
              <w:jc w:val="center"/>
              <w:rPr>
                <w:spacing w:val="20"/>
                <w:szCs w:val="21"/>
              </w:rPr>
            </w:pPr>
            <w:r>
              <w:rPr>
                <w:spacing w:val="20"/>
                <w:szCs w:val="21"/>
              </w:rPr>
              <w:t>项目名称</w:t>
            </w:r>
          </w:p>
        </w:tc>
        <w:tc>
          <w:tcPr>
            <w:tcW w:w="2126" w:type="dxa"/>
            <w:vAlign w:val="center"/>
          </w:tcPr>
          <w:p>
            <w:pPr>
              <w:jc w:val="center"/>
              <w:rPr>
                <w:spacing w:val="20"/>
                <w:szCs w:val="21"/>
              </w:rPr>
            </w:pPr>
            <w:r>
              <w:rPr>
                <w:spacing w:val="20"/>
                <w:szCs w:val="21"/>
              </w:rPr>
              <w:t xml:space="preserve">投标报价（元） </w:t>
            </w:r>
          </w:p>
        </w:tc>
        <w:tc>
          <w:tcPr>
            <w:tcW w:w="1928" w:type="dxa"/>
            <w:vAlign w:val="center"/>
          </w:tcPr>
          <w:p>
            <w:pPr>
              <w:jc w:val="center"/>
              <w:rPr>
                <w:spacing w:val="20"/>
                <w:szCs w:val="21"/>
              </w:rPr>
            </w:pPr>
            <w:r>
              <w:rPr>
                <w:szCs w:val="21"/>
              </w:rPr>
              <w:t>服务期限</w:t>
            </w:r>
          </w:p>
        </w:tc>
        <w:tc>
          <w:tcPr>
            <w:tcW w:w="1080" w:type="dxa"/>
            <w:vAlign w:val="center"/>
          </w:tcPr>
          <w:p>
            <w:pPr>
              <w:jc w:val="center"/>
              <w:rPr>
                <w:spacing w:val="20"/>
                <w:szCs w:val="21"/>
              </w:rPr>
            </w:pPr>
            <w:r>
              <w:rPr>
                <w:spacing w:val="2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trPr>
        <w:tc>
          <w:tcPr>
            <w:tcW w:w="846" w:type="dxa"/>
            <w:vAlign w:val="center"/>
          </w:tcPr>
          <w:p>
            <w:pPr>
              <w:spacing w:line="320" w:lineRule="exact"/>
              <w:rPr>
                <w:spacing w:val="20"/>
                <w:szCs w:val="21"/>
              </w:rPr>
            </w:pPr>
            <w:r>
              <w:rPr>
                <w:spacing w:val="20"/>
                <w:szCs w:val="21"/>
              </w:rPr>
              <w:t>1</w:t>
            </w:r>
          </w:p>
        </w:tc>
        <w:tc>
          <w:tcPr>
            <w:tcW w:w="2945" w:type="dxa"/>
            <w:gridSpan w:val="2"/>
            <w:vAlign w:val="center"/>
          </w:tcPr>
          <w:p>
            <w:pPr>
              <w:spacing w:line="320" w:lineRule="exact"/>
              <w:jc w:val="center"/>
              <w:rPr>
                <w:spacing w:val="20"/>
                <w:szCs w:val="21"/>
              </w:rPr>
            </w:pPr>
            <w:r>
              <w:rPr>
                <w:szCs w:val="21"/>
              </w:rPr>
              <w:t>医院安防系统维护保养</w:t>
            </w:r>
          </w:p>
        </w:tc>
        <w:tc>
          <w:tcPr>
            <w:tcW w:w="2126" w:type="dxa"/>
            <w:vAlign w:val="center"/>
          </w:tcPr>
          <w:p>
            <w:pPr>
              <w:spacing w:line="320" w:lineRule="exact"/>
              <w:rPr>
                <w:spacing w:val="20"/>
                <w:szCs w:val="21"/>
              </w:rPr>
            </w:pPr>
          </w:p>
        </w:tc>
        <w:tc>
          <w:tcPr>
            <w:tcW w:w="1928" w:type="dxa"/>
            <w:vAlign w:val="center"/>
          </w:tcPr>
          <w:p>
            <w:pPr>
              <w:spacing w:line="320" w:lineRule="exact"/>
              <w:rPr>
                <w:szCs w:val="21"/>
              </w:rPr>
            </w:pPr>
          </w:p>
        </w:tc>
        <w:tc>
          <w:tcPr>
            <w:tcW w:w="1080" w:type="dxa"/>
            <w:vAlign w:val="center"/>
          </w:tcPr>
          <w:p>
            <w:pPr>
              <w:spacing w:line="320" w:lineRule="exact"/>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925" w:type="dxa"/>
            <w:gridSpan w:val="6"/>
            <w:tcBorders>
              <w:top w:val="nil"/>
              <w:bottom w:val="single" w:color="auto" w:sz="4" w:space="0"/>
            </w:tcBorders>
            <w:vAlign w:val="bottom"/>
          </w:tcPr>
          <w:p>
            <w:pPr>
              <w:spacing w:line="360" w:lineRule="auto"/>
              <w:rPr>
                <w:spacing w:val="20"/>
                <w:szCs w:val="21"/>
              </w:rPr>
            </w:pPr>
            <w:r>
              <w:rPr>
                <w:spacing w:val="20"/>
                <w:szCs w:val="21"/>
              </w:rPr>
              <w:t>投标报价（人民币大写）：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043" w:type="dxa"/>
            <w:gridSpan w:val="2"/>
            <w:tcBorders>
              <w:top w:val="single" w:color="auto" w:sz="4" w:space="0"/>
              <w:bottom w:val="single" w:color="auto" w:sz="4" w:space="0"/>
            </w:tcBorders>
            <w:vAlign w:val="bottom"/>
          </w:tcPr>
          <w:p>
            <w:pPr>
              <w:spacing w:line="360" w:lineRule="auto"/>
              <w:rPr>
                <w:spacing w:val="20"/>
                <w:szCs w:val="21"/>
              </w:rPr>
            </w:pPr>
            <w:r>
              <w:rPr>
                <w:spacing w:val="20"/>
                <w:szCs w:val="21"/>
              </w:rPr>
              <w:t>保证金形式</w:t>
            </w:r>
          </w:p>
        </w:tc>
        <w:tc>
          <w:tcPr>
            <w:tcW w:w="6882" w:type="dxa"/>
            <w:gridSpan w:val="4"/>
            <w:tcBorders>
              <w:top w:val="single" w:color="auto" w:sz="4" w:space="0"/>
              <w:bottom w:val="single" w:color="auto" w:sz="4" w:space="0"/>
            </w:tcBorders>
            <w:vAlign w:val="bottom"/>
          </w:tcPr>
          <w:p>
            <w:pPr>
              <w:spacing w:line="360" w:lineRule="auto"/>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043" w:type="dxa"/>
            <w:gridSpan w:val="2"/>
            <w:tcBorders>
              <w:top w:val="single" w:color="auto" w:sz="4" w:space="0"/>
              <w:bottom w:val="single" w:color="auto" w:sz="4" w:space="0"/>
            </w:tcBorders>
            <w:vAlign w:val="bottom"/>
          </w:tcPr>
          <w:p>
            <w:pPr>
              <w:spacing w:line="360" w:lineRule="auto"/>
              <w:rPr>
                <w:spacing w:val="20"/>
                <w:szCs w:val="21"/>
              </w:rPr>
            </w:pPr>
            <w:r>
              <w:rPr>
                <w:spacing w:val="20"/>
                <w:szCs w:val="21"/>
              </w:rPr>
              <w:t>其它</w:t>
            </w:r>
          </w:p>
        </w:tc>
        <w:tc>
          <w:tcPr>
            <w:tcW w:w="6882" w:type="dxa"/>
            <w:gridSpan w:val="4"/>
            <w:tcBorders>
              <w:top w:val="single" w:color="auto" w:sz="4" w:space="0"/>
              <w:bottom w:val="single" w:color="auto" w:sz="4" w:space="0"/>
            </w:tcBorders>
            <w:vAlign w:val="bottom"/>
          </w:tcPr>
          <w:p>
            <w:pPr>
              <w:spacing w:line="360" w:lineRule="auto"/>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043" w:type="dxa"/>
            <w:gridSpan w:val="2"/>
            <w:tcBorders>
              <w:top w:val="single" w:color="auto" w:sz="4" w:space="0"/>
            </w:tcBorders>
            <w:vAlign w:val="bottom"/>
          </w:tcPr>
          <w:p>
            <w:pPr>
              <w:spacing w:line="360" w:lineRule="auto"/>
              <w:rPr>
                <w:spacing w:val="20"/>
                <w:szCs w:val="21"/>
              </w:rPr>
            </w:pPr>
            <w:r>
              <w:rPr>
                <w:spacing w:val="20"/>
                <w:szCs w:val="21"/>
              </w:rPr>
              <w:t>……</w:t>
            </w:r>
          </w:p>
        </w:tc>
        <w:tc>
          <w:tcPr>
            <w:tcW w:w="6882" w:type="dxa"/>
            <w:gridSpan w:val="4"/>
            <w:tcBorders>
              <w:top w:val="single" w:color="auto" w:sz="4" w:space="0"/>
            </w:tcBorders>
            <w:vAlign w:val="bottom"/>
          </w:tcPr>
          <w:p>
            <w:pPr>
              <w:spacing w:line="360" w:lineRule="auto"/>
              <w:rPr>
                <w:spacing w:val="20"/>
                <w:szCs w:val="21"/>
              </w:rPr>
            </w:pPr>
          </w:p>
        </w:tc>
      </w:tr>
    </w:tbl>
    <w:p>
      <w:pPr>
        <w:spacing w:line="360" w:lineRule="auto"/>
      </w:pPr>
    </w:p>
    <w:p>
      <w:pPr>
        <w:spacing w:line="360" w:lineRule="auto"/>
      </w:pPr>
    </w:p>
    <w:p>
      <w:pPr>
        <w:spacing w:line="360" w:lineRule="auto"/>
        <w:rPr>
          <w:spacing w:val="20"/>
          <w:szCs w:val="21"/>
        </w:rPr>
      </w:pPr>
      <w:r>
        <w:t>供应商法定代表人或代理人</w:t>
      </w:r>
      <w:r>
        <w:rPr>
          <w:spacing w:val="20"/>
          <w:szCs w:val="21"/>
        </w:rPr>
        <w:t>签字：              日期：</w:t>
      </w:r>
    </w:p>
    <w:p>
      <w:pPr>
        <w:spacing w:line="360" w:lineRule="auto"/>
        <w:rPr>
          <w:spacing w:val="20"/>
          <w:szCs w:val="21"/>
        </w:rPr>
      </w:pPr>
      <w:r>
        <w:rPr>
          <w:spacing w:val="20"/>
          <w:szCs w:val="21"/>
        </w:rPr>
        <w:t>注：</w:t>
      </w:r>
    </w:p>
    <w:p>
      <w:pPr>
        <w:spacing w:line="360" w:lineRule="auto"/>
        <w:rPr>
          <w:spacing w:val="20"/>
          <w:szCs w:val="21"/>
        </w:rPr>
      </w:pPr>
      <w:r>
        <w:rPr>
          <w:spacing w:val="20"/>
          <w:szCs w:val="21"/>
        </w:rPr>
        <w:t>1、上述报价包含一切由供方承担的费用；</w:t>
      </w:r>
    </w:p>
    <w:p>
      <w:pPr>
        <w:autoSpaceDE w:val="0"/>
        <w:autoSpaceDN w:val="0"/>
        <w:adjustRightInd w:val="0"/>
        <w:spacing w:line="360" w:lineRule="auto"/>
        <w:ind w:firstLine="359"/>
        <w:rPr>
          <w:b/>
          <w:bCs/>
        </w:rPr>
      </w:pPr>
    </w:p>
    <w:p/>
    <w:p>
      <w:pPr>
        <w:autoSpaceDE w:val="0"/>
        <w:autoSpaceDN w:val="0"/>
        <w:adjustRightInd w:val="0"/>
        <w:spacing w:line="360" w:lineRule="auto"/>
        <w:ind w:firstLine="359"/>
      </w:pPr>
    </w:p>
    <w:p>
      <w:pPr>
        <w:tabs>
          <w:tab w:val="left" w:pos="3800"/>
        </w:tabs>
        <w:autoSpaceDE w:val="0"/>
        <w:autoSpaceDN w:val="0"/>
        <w:adjustRightInd w:val="0"/>
        <w:spacing w:line="360" w:lineRule="auto"/>
        <w:ind w:firstLine="359"/>
      </w:pPr>
      <w:r>
        <w:tab/>
      </w:r>
    </w:p>
    <w:p>
      <w:pPr>
        <w:autoSpaceDE w:val="0"/>
        <w:autoSpaceDN w:val="0"/>
        <w:adjustRightInd w:val="0"/>
        <w:spacing w:line="360" w:lineRule="auto"/>
        <w:rPr>
          <w:szCs w:val="21"/>
        </w:rPr>
      </w:pPr>
      <w:r>
        <w:rPr>
          <w:szCs w:val="21"/>
        </w:rPr>
        <w:t xml:space="preserve"> </w:t>
      </w:r>
    </w:p>
    <w:p>
      <w:pPr>
        <w:autoSpaceDE w:val="0"/>
        <w:autoSpaceDN w:val="0"/>
        <w:adjustRightInd w:val="0"/>
        <w:spacing w:line="360" w:lineRule="auto"/>
        <w:ind w:firstLine="359"/>
        <w:rPr>
          <w:b/>
          <w:bCs/>
        </w:rPr>
      </w:pPr>
    </w:p>
    <w:p>
      <w:pPr>
        <w:adjustRightInd w:val="0"/>
        <w:spacing w:line="360" w:lineRule="auto"/>
        <w:rPr>
          <w:bCs/>
          <w:szCs w:val="21"/>
          <w:lang w:val="zh-CN"/>
        </w:rPr>
      </w:pPr>
      <w:r>
        <w:rPr>
          <w:b/>
          <w:bCs/>
          <w:kern w:val="0"/>
          <w:sz w:val="26"/>
        </w:rPr>
        <w:br w:type="page"/>
      </w:r>
      <w:r>
        <w:rPr>
          <w:bCs/>
          <w:szCs w:val="21"/>
          <w:lang w:val="zh-CN"/>
        </w:rPr>
        <w:t xml:space="preserve"> </w:t>
      </w:r>
    </w:p>
    <w:p>
      <w:pPr>
        <w:autoSpaceDE w:val="0"/>
        <w:autoSpaceDN w:val="0"/>
        <w:adjustRightInd w:val="0"/>
        <w:spacing w:line="360" w:lineRule="auto"/>
        <w:rPr>
          <w:spacing w:val="20"/>
          <w:szCs w:val="21"/>
        </w:rPr>
      </w:pPr>
      <w:r>
        <w:rPr>
          <w:b/>
          <w:bCs/>
        </w:rPr>
        <w:t>格式</w:t>
      </w:r>
      <w:r>
        <w:rPr>
          <w:rFonts w:hint="eastAsia"/>
          <w:b/>
          <w:bCs/>
        </w:rPr>
        <w:t>2</w:t>
      </w:r>
      <w:r>
        <w:rPr>
          <w:b/>
          <w:bCs/>
        </w:rPr>
        <w:t>：</w:t>
      </w:r>
    </w:p>
    <w:p>
      <w:pPr>
        <w:autoSpaceDE w:val="0"/>
        <w:autoSpaceDN w:val="0"/>
        <w:adjustRightInd w:val="0"/>
        <w:spacing w:line="360" w:lineRule="auto"/>
        <w:jc w:val="center"/>
        <w:rPr>
          <w:b/>
          <w:sz w:val="32"/>
          <w:szCs w:val="32"/>
        </w:rPr>
      </w:pPr>
      <w:r>
        <w:rPr>
          <w:b/>
          <w:sz w:val="32"/>
          <w:szCs w:val="32"/>
          <w:lang w:val="zh-CN"/>
        </w:rPr>
        <w:t>响应函</w:t>
      </w:r>
    </w:p>
    <w:p>
      <w:pPr>
        <w:autoSpaceDE w:val="0"/>
        <w:autoSpaceDN w:val="0"/>
        <w:adjustRightInd w:val="0"/>
        <w:spacing w:line="400" w:lineRule="exact"/>
      </w:pPr>
      <w:r>
        <w:rPr>
          <w:u w:val="single"/>
          <w:lang w:val="zh-CN"/>
        </w:rPr>
        <w:t>XXXX</w:t>
      </w:r>
      <w:r>
        <w:rPr>
          <w:lang w:val="zh-CN"/>
        </w:rPr>
        <w:t>：</w:t>
      </w:r>
    </w:p>
    <w:p>
      <w:pPr>
        <w:spacing w:line="360" w:lineRule="exact"/>
        <w:ind w:firstLine="420" w:firstLineChars="200"/>
        <w:rPr>
          <w:szCs w:val="21"/>
        </w:rPr>
      </w:pPr>
      <w:r>
        <w:rPr>
          <w:szCs w:val="21"/>
        </w:rPr>
        <w:t>我方收到贵</w:t>
      </w:r>
      <w:r>
        <w:rPr>
          <w:rFonts w:hint="eastAsia"/>
          <w:szCs w:val="21"/>
        </w:rPr>
        <w:t>院</w:t>
      </w:r>
      <w:r>
        <w:rPr>
          <w:szCs w:val="21"/>
          <w:u w:val="single"/>
        </w:rPr>
        <w:t xml:space="preserve">             </w:t>
      </w:r>
      <w:r>
        <w:rPr>
          <w:szCs w:val="21"/>
        </w:rPr>
        <w:t>号</w:t>
      </w:r>
      <w:r>
        <w:rPr>
          <w:rFonts w:hint="eastAsia"/>
          <w:szCs w:val="21"/>
        </w:rPr>
        <w:t>招标</w:t>
      </w:r>
      <w:r>
        <w:rPr>
          <w:szCs w:val="21"/>
        </w:rPr>
        <w:t>采购文件，经仔细阅读和研究，我方决定参加</w:t>
      </w:r>
      <w:r>
        <w:rPr>
          <w:rFonts w:hint="eastAsia"/>
          <w:szCs w:val="21"/>
        </w:rPr>
        <w:t>招标</w:t>
      </w:r>
      <w:r>
        <w:rPr>
          <w:szCs w:val="21"/>
        </w:rPr>
        <w:t>。并向贵</w:t>
      </w:r>
      <w:r>
        <w:rPr>
          <w:rFonts w:hint="eastAsia"/>
          <w:szCs w:val="21"/>
        </w:rPr>
        <w:t>院</w:t>
      </w:r>
      <w:r>
        <w:rPr>
          <w:szCs w:val="21"/>
        </w:rPr>
        <w:t>承诺：</w:t>
      </w:r>
    </w:p>
    <w:p>
      <w:pPr>
        <w:spacing w:line="360" w:lineRule="exact"/>
        <w:ind w:firstLine="420" w:firstLineChars="200"/>
        <w:rPr>
          <w:szCs w:val="21"/>
        </w:rPr>
      </w:pPr>
      <w:r>
        <w:rPr>
          <w:szCs w:val="21"/>
        </w:rPr>
        <w:t>1、愿意按照</w:t>
      </w:r>
      <w:r>
        <w:rPr>
          <w:rFonts w:hint="eastAsia"/>
          <w:szCs w:val="21"/>
        </w:rPr>
        <w:t>招标</w:t>
      </w:r>
      <w:r>
        <w:rPr>
          <w:szCs w:val="21"/>
        </w:rPr>
        <w:t>采购文件的一切要求，提供以上所有服务，总价格及明细见《</w:t>
      </w:r>
      <w:r>
        <w:rPr>
          <w:rFonts w:hint="eastAsia"/>
          <w:szCs w:val="21"/>
        </w:rPr>
        <w:t>招标</w:t>
      </w:r>
      <w:r>
        <w:rPr>
          <w:szCs w:val="21"/>
        </w:rPr>
        <w:t>采购响应报价表》。</w:t>
      </w:r>
    </w:p>
    <w:p>
      <w:pPr>
        <w:spacing w:line="360" w:lineRule="exact"/>
        <w:ind w:firstLine="420" w:firstLineChars="200"/>
        <w:rPr>
          <w:szCs w:val="21"/>
        </w:rPr>
      </w:pPr>
      <w:r>
        <w:rPr>
          <w:szCs w:val="21"/>
        </w:rPr>
        <w:t>2、如果我们的响应文件被接受，我们将严格履行</w:t>
      </w:r>
      <w:r>
        <w:rPr>
          <w:rFonts w:hint="eastAsia"/>
          <w:szCs w:val="21"/>
        </w:rPr>
        <w:t>招标</w:t>
      </w:r>
      <w:r>
        <w:rPr>
          <w:szCs w:val="21"/>
        </w:rPr>
        <w:t>采购文件中规定的每一项要求，严格履行合同的责任和义务，保证按期、按质履行合同。完成合同内容所规定的的全部内容。</w:t>
      </w:r>
    </w:p>
    <w:p>
      <w:pPr>
        <w:adjustRightInd w:val="0"/>
        <w:spacing w:line="400" w:lineRule="exact"/>
        <w:ind w:firstLine="420" w:firstLineChars="200"/>
        <w:rPr>
          <w:kern w:val="0"/>
          <w:lang w:val="zh-CN"/>
        </w:rPr>
      </w:pPr>
      <w:r>
        <w:rPr>
          <w:kern w:val="0"/>
          <w:lang w:val="zh-CN"/>
        </w:rPr>
        <w:t>3、我方同意</w:t>
      </w:r>
      <w:r>
        <w:rPr>
          <w:rFonts w:hint="eastAsia"/>
          <w:kern w:val="0"/>
          <w:lang w:val="zh-CN"/>
        </w:rPr>
        <w:t>招标</w:t>
      </w:r>
      <w:r>
        <w:rPr>
          <w:kern w:val="0"/>
          <w:lang w:val="zh-CN"/>
        </w:rPr>
        <w:t>采购文件中的规定，我方的响应文件有效期限为</w:t>
      </w:r>
      <w:r>
        <w:rPr>
          <w:rFonts w:hint="eastAsia"/>
          <w:kern w:val="0"/>
          <w:lang w:val="zh-CN"/>
        </w:rPr>
        <w:t>招标</w:t>
      </w:r>
      <w:r>
        <w:rPr>
          <w:kern w:val="0"/>
          <w:lang w:val="zh-CN"/>
        </w:rPr>
        <w:t>开始后30天。</w:t>
      </w:r>
    </w:p>
    <w:p>
      <w:pPr>
        <w:adjustRightInd w:val="0"/>
        <w:spacing w:line="400" w:lineRule="exact"/>
        <w:ind w:firstLine="420" w:firstLineChars="200"/>
        <w:rPr>
          <w:kern w:val="0"/>
          <w:lang w:val="zh-CN"/>
        </w:rPr>
      </w:pPr>
      <w:r>
        <w:rPr>
          <w:kern w:val="0"/>
          <w:lang w:val="zh-CN"/>
        </w:rPr>
        <w:t>4、我方愿意提供贵方在</w:t>
      </w:r>
      <w:r>
        <w:rPr>
          <w:rFonts w:hint="eastAsia"/>
          <w:kern w:val="0"/>
          <w:lang w:val="zh-CN"/>
        </w:rPr>
        <w:t>招标</w:t>
      </w:r>
      <w:r>
        <w:rPr>
          <w:kern w:val="0"/>
          <w:lang w:val="zh-CN"/>
        </w:rPr>
        <w:t>采购文件中要求的所有资料。并保证所提供的资料全部是真实的、有效的，若有虚假，我方愿承担一切责任。</w:t>
      </w:r>
    </w:p>
    <w:p>
      <w:pPr>
        <w:adjustRightInd w:val="0"/>
        <w:spacing w:line="400" w:lineRule="exact"/>
        <w:ind w:firstLine="420" w:firstLineChars="200"/>
        <w:rPr>
          <w:kern w:val="0"/>
          <w:lang w:val="zh-CN"/>
        </w:rPr>
      </w:pPr>
      <w:r>
        <w:rPr>
          <w:kern w:val="0"/>
          <w:lang w:val="zh-CN"/>
        </w:rPr>
        <w:t>6、我方愿意遵守</w:t>
      </w:r>
      <w:r>
        <w:rPr>
          <w:rFonts w:hint="eastAsia"/>
          <w:kern w:val="0"/>
          <w:lang w:val="zh-CN"/>
        </w:rPr>
        <w:t>招标</w:t>
      </w:r>
      <w:r>
        <w:rPr>
          <w:kern w:val="0"/>
          <w:lang w:val="zh-CN"/>
        </w:rPr>
        <w:t>采购文件中所列的收费标准。</w:t>
      </w:r>
    </w:p>
    <w:p>
      <w:pPr>
        <w:adjustRightInd w:val="0"/>
        <w:spacing w:line="400" w:lineRule="exact"/>
        <w:ind w:firstLine="420" w:firstLineChars="200"/>
        <w:rPr>
          <w:kern w:val="0"/>
          <w:lang w:val="zh-CN"/>
        </w:rPr>
      </w:pPr>
      <w:r>
        <w:rPr>
          <w:kern w:val="0"/>
          <w:lang w:val="zh-CN"/>
        </w:rPr>
        <w:t>7、我方承诺该项</w:t>
      </w:r>
      <w:r>
        <w:rPr>
          <w:rFonts w:hint="eastAsia"/>
          <w:kern w:val="0"/>
          <w:lang w:val="zh-CN"/>
        </w:rPr>
        <w:t>招标</w:t>
      </w:r>
      <w:r>
        <w:rPr>
          <w:kern w:val="0"/>
          <w:lang w:val="zh-CN"/>
        </w:rPr>
        <w:t>开始后的全过程中保持有效，不作任何更改和变动。</w:t>
      </w:r>
    </w:p>
    <w:p>
      <w:pPr>
        <w:adjustRightInd w:val="0"/>
        <w:spacing w:line="400" w:lineRule="exact"/>
        <w:ind w:firstLine="420" w:firstLineChars="200"/>
        <w:outlineLvl w:val="0"/>
        <w:rPr>
          <w:kern w:val="0"/>
          <w:lang w:val="zh-CN"/>
        </w:rPr>
      </w:pPr>
      <w:r>
        <w:rPr>
          <w:kern w:val="0"/>
          <w:lang w:val="zh-CN"/>
        </w:rPr>
        <w:t>8、我方愿意按</w:t>
      </w:r>
      <w:r>
        <w:rPr>
          <w:rFonts w:hint="eastAsia"/>
          <w:kern w:val="0"/>
          <w:lang w:val="zh-CN"/>
        </w:rPr>
        <w:t>招标</w:t>
      </w:r>
      <w:r>
        <w:rPr>
          <w:kern w:val="0"/>
          <w:lang w:val="zh-CN"/>
        </w:rPr>
        <w:t>采购文件的规定交纳人民币</w:t>
      </w:r>
      <w:r>
        <w:rPr>
          <w:kern w:val="0"/>
          <w:u w:val="single"/>
          <w:lang w:val="zh-CN"/>
        </w:rPr>
        <w:t xml:space="preserve">         </w:t>
      </w:r>
      <w:r>
        <w:rPr>
          <w:kern w:val="0"/>
          <w:lang w:val="zh-CN"/>
        </w:rPr>
        <w:t>元的投标保证金；</w:t>
      </w:r>
    </w:p>
    <w:p>
      <w:pPr>
        <w:adjustRightInd w:val="0"/>
        <w:spacing w:line="400" w:lineRule="exact"/>
        <w:ind w:firstLine="420" w:firstLineChars="200"/>
        <w:rPr>
          <w:kern w:val="0"/>
        </w:rPr>
      </w:pPr>
      <w:r>
        <w:rPr>
          <w:rFonts w:hint="eastAsia"/>
          <w:kern w:val="0"/>
        </w:rPr>
        <w:t>9</w:t>
      </w:r>
      <w:r>
        <w:rPr>
          <w:kern w:val="0"/>
        </w:rPr>
        <w:t>、与本</w:t>
      </w:r>
      <w:r>
        <w:rPr>
          <w:rFonts w:hint="eastAsia"/>
          <w:kern w:val="0"/>
        </w:rPr>
        <w:t>招标</w:t>
      </w:r>
      <w:r>
        <w:rPr>
          <w:kern w:val="0"/>
        </w:rPr>
        <w:t>有关的通讯地址：</w:t>
      </w:r>
    </w:p>
    <w:p>
      <w:pPr>
        <w:pStyle w:val="49"/>
        <w:spacing w:line="400" w:lineRule="exact"/>
        <w:ind w:firstLine="420" w:firstLineChars="200"/>
        <w:rPr>
          <w:rFonts w:ascii="Times New Roman" w:hAnsi="Times New Roman" w:eastAsia="宋体"/>
          <w:sz w:val="21"/>
          <w:u w:val="single"/>
        </w:rPr>
      </w:pPr>
      <w:r>
        <w:rPr>
          <w:rFonts w:ascii="Times New Roman" w:hAnsi="Times New Roman" w:eastAsia="宋体"/>
          <w:sz w:val="21"/>
        </w:rPr>
        <w:t>单位：                           联系人：</w:t>
      </w:r>
    </w:p>
    <w:p>
      <w:pPr>
        <w:pStyle w:val="49"/>
        <w:spacing w:line="400" w:lineRule="exact"/>
        <w:ind w:firstLine="420" w:firstLineChars="200"/>
        <w:rPr>
          <w:rFonts w:ascii="Times New Roman" w:hAnsi="Times New Roman" w:eastAsia="宋体"/>
          <w:sz w:val="21"/>
          <w:u w:val="single"/>
        </w:rPr>
      </w:pPr>
      <w:r>
        <w:rPr>
          <w:rFonts w:ascii="Times New Roman" w:hAnsi="Times New Roman" w:eastAsia="宋体"/>
          <w:sz w:val="21"/>
        </w:rPr>
        <w:t>地址：                           邮政编码：</w:t>
      </w:r>
    </w:p>
    <w:p>
      <w:pPr>
        <w:pStyle w:val="49"/>
        <w:spacing w:line="400" w:lineRule="exact"/>
        <w:ind w:firstLine="420" w:firstLineChars="200"/>
        <w:rPr>
          <w:rFonts w:ascii="Times New Roman" w:hAnsi="Times New Roman" w:eastAsia="宋体"/>
          <w:sz w:val="21"/>
          <w:u w:val="single"/>
        </w:rPr>
      </w:pPr>
      <w:r>
        <w:rPr>
          <w:rFonts w:ascii="Times New Roman" w:hAnsi="Times New Roman" w:eastAsia="宋体"/>
          <w:sz w:val="21"/>
        </w:rPr>
        <w:t>联系电话：                       传真：</w:t>
      </w:r>
    </w:p>
    <w:p>
      <w:pPr>
        <w:pStyle w:val="49"/>
        <w:spacing w:line="400" w:lineRule="exact"/>
        <w:ind w:firstLine="425"/>
        <w:rPr>
          <w:rFonts w:ascii="Times New Roman" w:hAnsi="Times New Roman" w:eastAsia="宋体"/>
          <w:sz w:val="21"/>
        </w:rPr>
      </w:pPr>
      <w:r>
        <w:rPr>
          <w:rFonts w:ascii="Times New Roman" w:hAnsi="Times New Roman" w:eastAsia="宋体"/>
          <w:sz w:val="21"/>
        </w:rPr>
        <w:t>供应商名称：（单位盖章）</w:t>
      </w:r>
    </w:p>
    <w:p>
      <w:pPr>
        <w:spacing w:line="400" w:lineRule="exact"/>
        <w:ind w:firstLine="420" w:firstLineChars="200"/>
      </w:pPr>
      <w:r>
        <w:t>供应商法定代表人或代理人：（签字或签章）</w:t>
      </w:r>
    </w:p>
    <w:p>
      <w:pPr>
        <w:spacing w:line="400" w:lineRule="exact"/>
        <w:ind w:firstLine="6300" w:firstLineChars="3000"/>
        <w:rPr>
          <w:b/>
          <w:bCs/>
        </w:rPr>
      </w:pPr>
      <w:r>
        <w:t>年    月    日</w:t>
      </w:r>
    </w:p>
    <w:p>
      <w:pPr>
        <w:spacing w:line="360" w:lineRule="auto"/>
        <w:rPr>
          <w:b/>
          <w:bCs/>
        </w:rPr>
      </w:pPr>
    </w:p>
    <w:p>
      <w:pPr>
        <w:spacing w:line="360" w:lineRule="auto"/>
        <w:rPr>
          <w:b/>
          <w:bCs/>
        </w:rPr>
      </w:pPr>
    </w:p>
    <w:p>
      <w:pPr>
        <w:spacing w:line="360" w:lineRule="auto"/>
        <w:rPr>
          <w:szCs w:val="21"/>
        </w:rPr>
      </w:pPr>
      <w:r>
        <w:rPr>
          <w:b/>
          <w:bCs/>
        </w:rPr>
        <w:br w:type="page"/>
      </w:r>
      <w:r>
        <w:rPr>
          <w:b/>
          <w:szCs w:val="21"/>
        </w:rPr>
        <w:t>格式</w:t>
      </w:r>
      <w:r>
        <w:rPr>
          <w:rFonts w:hint="eastAsia"/>
          <w:b/>
          <w:szCs w:val="21"/>
        </w:rPr>
        <w:t>3</w:t>
      </w:r>
      <w:r>
        <w:rPr>
          <w:b/>
          <w:szCs w:val="21"/>
        </w:rPr>
        <w:t>：</w:t>
      </w:r>
    </w:p>
    <w:p>
      <w:pPr>
        <w:spacing w:line="360" w:lineRule="auto"/>
        <w:jc w:val="center"/>
        <w:rPr>
          <w:b/>
          <w:bCs/>
          <w:sz w:val="32"/>
          <w:szCs w:val="32"/>
        </w:rPr>
      </w:pPr>
      <w:r>
        <w:rPr>
          <w:b/>
          <w:bCs/>
          <w:sz w:val="32"/>
          <w:szCs w:val="32"/>
        </w:rPr>
        <w:t>供应商关于资格的声明函</w:t>
      </w:r>
    </w:p>
    <w:p>
      <w:pPr>
        <w:spacing w:line="360" w:lineRule="auto"/>
      </w:pPr>
    </w:p>
    <w:p>
      <w:pPr>
        <w:spacing w:line="360" w:lineRule="auto"/>
      </w:pPr>
      <w:r>
        <w:t>标书编号：</w:t>
      </w:r>
    </w:p>
    <w:p>
      <w:pPr>
        <w:spacing w:line="360" w:lineRule="auto"/>
      </w:pPr>
      <w:r>
        <w:t>日期：</w:t>
      </w:r>
    </w:p>
    <w:p>
      <w:pPr>
        <w:spacing w:line="360" w:lineRule="auto"/>
      </w:pPr>
      <w:r>
        <w:t>XXXX：</w:t>
      </w:r>
    </w:p>
    <w:p>
      <w:pPr>
        <w:spacing w:line="360" w:lineRule="auto"/>
        <w:ind w:firstLine="420" w:firstLineChars="200"/>
      </w:pPr>
      <w:r>
        <w:t>我单位愿参加本次竞争性</w:t>
      </w:r>
      <w:r>
        <w:rPr>
          <w:rFonts w:hint="eastAsia"/>
        </w:rPr>
        <w:t>招标</w:t>
      </w:r>
      <w:r>
        <w:t>采购活动。我单位在响应文件中所有关于</w:t>
      </w:r>
      <w:r>
        <w:rPr>
          <w:rFonts w:hint="eastAsia"/>
        </w:rPr>
        <w:t>招标</w:t>
      </w:r>
      <w:r>
        <w:t>资格的文件，证明与陈述均是真实的、准确的。若有违背，我单位愿意承担由此而产生的一切后果。</w:t>
      </w:r>
    </w:p>
    <w:p>
      <w:pPr>
        <w:spacing w:line="360" w:lineRule="auto"/>
        <w:ind w:firstLine="420" w:firstLineChars="200"/>
      </w:pPr>
    </w:p>
    <w:p>
      <w:pPr>
        <w:spacing w:line="360" w:lineRule="auto"/>
        <w:ind w:firstLine="420" w:firstLineChars="200"/>
      </w:pPr>
    </w:p>
    <w:p>
      <w:pPr>
        <w:spacing w:line="360" w:lineRule="auto"/>
        <w:ind w:firstLine="420" w:firstLineChars="200"/>
      </w:pPr>
    </w:p>
    <w:p>
      <w:pPr>
        <w:spacing w:line="360" w:lineRule="auto"/>
      </w:pPr>
      <w:r>
        <w:rPr>
          <w:rFonts w:hint="eastAsia"/>
        </w:rPr>
        <w:t>招标</w:t>
      </w:r>
      <w:r>
        <w:t>代表签字：</w:t>
      </w:r>
    </w:p>
    <w:p>
      <w:pPr>
        <w:spacing w:line="360" w:lineRule="auto"/>
      </w:pPr>
      <w:r>
        <w:rPr>
          <w:rFonts w:hint="eastAsia"/>
        </w:rPr>
        <w:t>招标</w:t>
      </w:r>
      <w:r>
        <w:t>供应商公章：</w:t>
      </w:r>
    </w:p>
    <w:p>
      <w:pPr>
        <w:spacing w:line="360" w:lineRule="auto"/>
        <w:rPr>
          <w:szCs w:val="21"/>
        </w:rPr>
      </w:pPr>
      <w:r>
        <w:br w:type="page"/>
      </w:r>
      <w:r>
        <w:rPr>
          <w:b/>
          <w:bCs/>
          <w:szCs w:val="21"/>
        </w:rPr>
        <w:t>格式</w:t>
      </w:r>
      <w:r>
        <w:rPr>
          <w:rFonts w:hint="eastAsia"/>
          <w:b/>
          <w:bCs/>
          <w:szCs w:val="21"/>
        </w:rPr>
        <w:t>4</w:t>
      </w:r>
      <w:r>
        <w:rPr>
          <w:b/>
          <w:bCs/>
          <w:szCs w:val="21"/>
        </w:rPr>
        <w:t>：</w:t>
      </w:r>
    </w:p>
    <w:p>
      <w:pPr>
        <w:spacing w:line="360" w:lineRule="auto"/>
        <w:jc w:val="center"/>
        <w:rPr>
          <w:b/>
          <w:bCs/>
          <w:sz w:val="32"/>
          <w:szCs w:val="32"/>
        </w:rPr>
      </w:pPr>
      <w:r>
        <w:rPr>
          <w:b/>
          <w:bCs/>
          <w:sz w:val="32"/>
          <w:szCs w:val="32"/>
        </w:rPr>
        <w:t>法人授权委托书</w:t>
      </w:r>
    </w:p>
    <w:p>
      <w:pPr>
        <w:autoSpaceDE w:val="0"/>
        <w:autoSpaceDN w:val="0"/>
        <w:adjustRightInd w:val="0"/>
        <w:spacing w:line="360" w:lineRule="auto"/>
        <w:ind w:firstLine="420"/>
        <w:rPr>
          <w:szCs w:val="21"/>
        </w:rPr>
      </w:pPr>
      <w:r>
        <w:rPr>
          <w:szCs w:val="21"/>
          <w:lang w:val="zh-CN"/>
        </w:rPr>
        <w:t>本授权委托书声明：我</w:t>
      </w:r>
      <w:r>
        <w:rPr>
          <w:szCs w:val="21"/>
          <w:u w:val="single"/>
          <w:lang w:val="zh-CN"/>
        </w:rPr>
        <w:t xml:space="preserve">         </w:t>
      </w:r>
      <w:r>
        <w:rPr>
          <w:szCs w:val="21"/>
          <w:lang w:val="zh-CN"/>
        </w:rPr>
        <w:t>（姓名）系</w:t>
      </w:r>
      <w:r>
        <w:rPr>
          <w:szCs w:val="21"/>
          <w:u w:val="single"/>
          <w:lang w:val="zh-CN"/>
        </w:rPr>
        <w:t xml:space="preserve">             </w:t>
      </w:r>
      <w:r>
        <w:rPr>
          <w:szCs w:val="21"/>
          <w:lang w:val="zh-CN"/>
        </w:rPr>
        <w:t>（投标人名称）的法定代表人，现授权委托</w:t>
      </w:r>
      <w:r>
        <w:rPr>
          <w:szCs w:val="21"/>
          <w:u w:val="single"/>
          <w:lang w:val="zh-CN"/>
        </w:rPr>
        <w:t xml:space="preserve">         </w:t>
      </w:r>
      <w:r>
        <w:rPr>
          <w:szCs w:val="21"/>
          <w:lang w:val="zh-CN"/>
        </w:rPr>
        <w:t>（姓名）为我公司代理人，以本公司的名义参加XXXX组织实施的编号为</w:t>
      </w:r>
      <w:r>
        <w:rPr>
          <w:szCs w:val="21"/>
          <w:u w:val="single"/>
          <w:lang w:val="zh-CN"/>
        </w:rPr>
        <w:t xml:space="preserve">            </w:t>
      </w:r>
      <w:r>
        <w:rPr>
          <w:szCs w:val="21"/>
          <w:lang w:val="zh-CN"/>
        </w:rPr>
        <w:t>号竞争性</w:t>
      </w:r>
      <w:r>
        <w:rPr>
          <w:rFonts w:hint="eastAsia"/>
          <w:szCs w:val="21"/>
          <w:lang w:val="zh-CN"/>
        </w:rPr>
        <w:t>招标</w:t>
      </w:r>
      <w:r>
        <w:rPr>
          <w:szCs w:val="21"/>
          <w:lang w:val="zh-CN"/>
        </w:rPr>
        <w:t>采购活动。代理人在开标、评标、合同</w:t>
      </w:r>
      <w:r>
        <w:rPr>
          <w:rFonts w:hint="eastAsia"/>
          <w:szCs w:val="21"/>
          <w:lang w:val="zh-CN"/>
        </w:rPr>
        <w:t>招标</w:t>
      </w:r>
      <w:r>
        <w:rPr>
          <w:szCs w:val="21"/>
          <w:lang w:val="zh-CN"/>
        </w:rPr>
        <w:t>过程中所签署的一切文件和处理与这有关的一切事务，我均予以承认。</w:t>
      </w:r>
    </w:p>
    <w:p>
      <w:pPr>
        <w:autoSpaceDE w:val="0"/>
        <w:autoSpaceDN w:val="0"/>
        <w:adjustRightInd w:val="0"/>
        <w:spacing w:line="360" w:lineRule="auto"/>
        <w:ind w:firstLine="420"/>
        <w:rPr>
          <w:szCs w:val="21"/>
        </w:rPr>
      </w:pPr>
      <w:r>
        <w:rPr>
          <w:szCs w:val="21"/>
          <w:lang w:val="zh-CN"/>
        </w:rPr>
        <w:t>代理人在授权委托书有效期内签署的所有文件不因授权委托的撤销而失效，除非有撤销授权委托的书面通知，本授权委托书自投标开始至合同履行完毕止。</w:t>
      </w:r>
    </w:p>
    <w:p>
      <w:pPr>
        <w:autoSpaceDE w:val="0"/>
        <w:autoSpaceDN w:val="0"/>
        <w:adjustRightInd w:val="0"/>
        <w:spacing w:line="360" w:lineRule="auto"/>
        <w:ind w:firstLine="425"/>
        <w:rPr>
          <w:szCs w:val="21"/>
        </w:rPr>
      </w:pPr>
      <w:r>
        <w:rPr>
          <w:szCs w:val="21"/>
          <w:lang w:val="zh-CN"/>
        </w:rPr>
        <w:t>代理人无转委托权。特此委托。</w:t>
      </w:r>
    </w:p>
    <w:p>
      <w:pPr>
        <w:spacing w:line="480" w:lineRule="auto"/>
        <w:ind w:firstLine="420" w:firstLineChars="200"/>
      </w:pPr>
    </w:p>
    <w:p>
      <w:pPr>
        <w:spacing w:line="480" w:lineRule="auto"/>
      </w:pPr>
      <w:r>
        <w:t>法定代表人（</w:t>
      </w:r>
      <w:r>
        <w:rPr>
          <w:bCs/>
        </w:rPr>
        <w:t>签字或签章）</w:t>
      </w:r>
      <w:r>
        <w:t>：</w:t>
      </w:r>
    </w:p>
    <w:p>
      <w:pPr>
        <w:spacing w:line="480" w:lineRule="auto"/>
      </w:pPr>
      <w:r>
        <w:t>代理人（</w:t>
      </w:r>
      <w:r>
        <w:rPr>
          <w:bCs/>
        </w:rPr>
        <w:t>签字或签章）</w:t>
      </w:r>
      <w:r>
        <w:t>：</w:t>
      </w:r>
    </w:p>
    <w:p>
      <w:pPr>
        <w:spacing w:line="480" w:lineRule="auto"/>
      </w:pPr>
      <w:r>
        <w:t>职务：</w:t>
      </w:r>
    </w:p>
    <w:p>
      <w:pPr>
        <w:spacing w:line="480" w:lineRule="auto"/>
      </w:pPr>
      <w:r>
        <w:t>联系电话：</w:t>
      </w:r>
    </w:p>
    <w:p>
      <w:pPr>
        <w:spacing w:line="480" w:lineRule="auto"/>
      </w:pPr>
      <w:r>
        <w:rPr>
          <w:rFonts w:hint="eastAsia"/>
          <w:szCs w:val="20"/>
        </w:rPr>
        <w:t>招标</w:t>
      </w:r>
      <w:r>
        <w:rPr>
          <w:szCs w:val="20"/>
        </w:rPr>
        <w:t>响应单位：（公章）</w:t>
      </w:r>
    </w:p>
    <w:p>
      <w:pPr>
        <w:spacing w:line="360" w:lineRule="auto"/>
        <w:rPr>
          <w:b/>
          <w:bCs/>
          <w:spacing w:val="20"/>
        </w:rPr>
      </w:pPr>
    </w:p>
    <w:p>
      <w:pPr>
        <w:spacing w:line="360" w:lineRule="auto"/>
        <w:rPr>
          <w:b/>
          <w:bCs/>
          <w:spacing w:val="20"/>
        </w:rPr>
      </w:pPr>
    </w:p>
    <w:p>
      <w:pPr>
        <w:spacing w:line="360" w:lineRule="auto"/>
        <w:rPr>
          <w:b/>
          <w:bCs/>
          <w:spacing w:val="20"/>
        </w:rPr>
      </w:pPr>
    </w:p>
    <w:p>
      <w:pPr>
        <w:spacing w:line="360" w:lineRule="auto"/>
        <w:rPr>
          <w:b/>
          <w:bCs/>
          <w:spacing w:val="20"/>
        </w:rPr>
      </w:pPr>
    </w:p>
    <w:p>
      <w:pPr>
        <w:spacing w:line="360" w:lineRule="auto"/>
        <w:rPr>
          <w:b/>
          <w:bCs/>
          <w:szCs w:val="21"/>
        </w:rPr>
      </w:pPr>
      <w:r>
        <w:rPr>
          <w:b/>
          <w:bCs/>
          <w:szCs w:val="21"/>
        </w:rPr>
        <w:br w:type="page"/>
      </w:r>
      <w:r>
        <w:rPr>
          <w:b/>
          <w:bCs/>
          <w:szCs w:val="21"/>
        </w:rPr>
        <w:t>格式</w:t>
      </w:r>
      <w:r>
        <w:rPr>
          <w:rFonts w:hint="eastAsia"/>
          <w:b/>
          <w:bCs/>
          <w:szCs w:val="21"/>
        </w:rPr>
        <w:t>5</w:t>
      </w:r>
      <w:r>
        <w:rPr>
          <w:b/>
          <w:bCs/>
          <w:szCs w:val="21"/>
        </w:rPr>
        <w:t>：</w:t>
      </w:r>
    </w:p>
    <w:p>
      <w:pPr>
        <w:spacing w:line="360" w:lineRule="auto"/>
        <w:jc w:val="center"/>
        <w:rPr>
          <w:b/>
          <w:bCs/>
          <w:spacing w:val="20"/>
          <w:sz w:val="32"/>
          <w:szCs w:val="32"/>
        </w:rPr>
      </w:pPr>
      <w:r>
        <w:rPr>
          <w:b/>
          <w:bCs/>
          <w:spacing w:val="20"/>
          <w:sz w:val="32"/>
          <w:szCs w:val="32"/>
        </w:rPr>
        <w:t>供应商情况表</w:t>
      </w:r>
    </w:p>
    <w:p>
      <w:pPr>
        <w:spacing w:line="360" w:lineRule="auto"/>
        <w:jc w:val="right"/>
        <w:rPr>
          <w:spacing w:val="20"/>
          <w:szCs w:val="21"/>
        </w:rPr>
      </w:pPr>
      <w:r>
        <w:rPr>
          <w:spacing w:val="20"/>
          <w:szCs w:val="21"/>
        </w:rPr>
        <w:t>年   月  日</w:t>
      </w:r>
    </w:p>
    <w:tbl>
      <w:tblPr>
        <w:tblStyle w:val="16"/>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8"/>
        <w:gridCol w:w="630"/>
        <w:gridCol w:w="420"/>
        <w:gridCol w:w="735"/>
        <w:gridCol w:w="1005"/>
        <w:gridCol w:w="570"/>
        <w:gridCol w:w="746"/>
        <w:gridCol w:w="1384"/>
        <w:gridCol w:w="611"/>
        <w:gridCol w:w="245"/>
        <w:gridCol w:w="148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1" w:hRule="atLeast"/>
        </w:trPr>
        <w:tc>
          <w:tcPr>
            <w:tcW w:w="1788"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spacing w:val="20"/>
              </w:rPr>
            </w:pPr>
            <w:r>
              <w:rPr>
                <w:spacing w:val="20"/>
              </w:rPr>
              <w:t>单位名称</w:t>
            </w:r>
          </w:p>
          <w:p>
            <w:pPr>
              <w:spacing w:line="360" w:lineRule="auto"/>
              <w:jc w:val="center"/>
              <w:rPr>
                <w:spacing w:val="20"/>
              </w:rPr>
            </w:pPr>
            <w:r>
              <w:rPr>
                <w:spacing w:val="20"/>
              </w:rPr>
              <w:t>（盖章）</w:t>
            </w:r>
          </w:p>
        </w:tc>
        <w:tc>
          <w:tcPr>
            <w:tcW w:w="174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spacing w:val="20"/>
              </w:rPr>
            </w:pPr>
          </w:p>
        </w:tc>
        <w:tc>
          <w:tcPr>
            <w:tcW w:w="131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spacing w:val="20"/>
              </w:rPr>
            </w:pPr>
            <w:r>
              <w:rPr>
                <w:spacing w:val="20"/>
              </w:rPr>
              <w:t>注册号</w:t>
            </w:r>
          </w:p>
        </w:tc>
        <w:tc>
          <w:tcPr>
            <w:tcW w:w="13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pacing w:val="20"/>
              </w:rPr>
            </w:pPr>
          </w:p>
        </w:tc>
        <w:tc>
          <w:tcPr>
            <w:tcW w:w="85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spacing w:val="20"/>
              </w:rPr>
            </w:pPr>
            <w:r>
              <w:rPr>
                <w:spacing w:val="20"/>
              </w:rPr>
              <w:t>电话</w:t>
            </w:r>
          </w:p>
        </w:tc>
        <w:tc>
          <w:tcPr>
            <w:tcW w:w="14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pacing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8" w:hRule="atLeast"/>
        </w:trPr>
        <w:tc>
          <w:tcPr>
            <w:tcW w:w="1788"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spacing w:val="20"/>
              </w:rPr>
            </w:pPr>
            <w:r>
              <w:rPr>
                <w:spacing w:val="20"/>
              </w:rPr>
              <w:t>地址</w:t>
            </w:r>
          </w:p>
        </w:tc>
        <w:tc>
          <w:tcPr>
            <w:tcW w:w="174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spacing w:val="20"/>
              </w:rPr>
            </w:pPr>
          </w:p>
        </w:tc>
        <w:tc>
          <w:tcPr>
            <w:tcW w:w="131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spacing w:val="20"/>
              </w:rPr>
            </w:pPr>
            <w:r>
              <w:rPr>
                <w:spacing w:val="20"/>
              </w:rPr>
              <w:t>注册资金</w:t>
            </w:r>
          </w:p>
        </w:tc>
        <w:tc>
          <w:tcPr>
            <w:tcW w:w="13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pacing w:val="20"/>
              </w:rPr>
            </w:pPr>
          </w:p>
        </w:tc>
        <w:tc>
          <w:tcPr>
            <w:tcW w:w="85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spacing w:val="20"/>
              </w:rPr>
            </w:pPr>
            <w:r>
              <w:rPr>
                <w:spacing w:val="20"/>
              </w:rPr>
              <w:t>传真</w:t>
            </w:r>
          </w:p>
        </w:tc>
        <w:tc>
          <w:tcPr>
            <w:tcW w:w="14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pacing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90" w:hRule="atLeast"/>
        </w:trPr>
        <w:tc>
          <w:tcPr>
            <w:tcW w:w="1788"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spacing w:val="20"/>
              </w:rPr>
            </w:pPr>
            <w:r>
              <w:rPr>
                <w:spacing w:val="20"/>
              </w:rPr>
              <w:t>一、单位简历及机构</w:t>
            </w:r>
          </w:p>
        </w:tc>
        <w:tc>
          <w:tcPr>
            <w:tcW w:w="6780" w:type="dxa"/>
            <w:gridSpan w:val="8"/>
            <w:tcBorders>
              <w:top w:val="single" w:color="auto" w:sz="4" w:space="0"/>
              <w:left w:val="single" w:color="auto" w:sz="4" w:space="0"/>
              <w:bottom w:val="single" w:color="auto" w:sz="4" w:space="0"/>
              <w:right w:val="single" w:color="auto" w:sz="4" w:space="0"/>
            </w:tcBorders>
            <w:vAlign w:val="center"/>
          </w:tcPr>
          <w:p>
            <w:pPr>
              <w:spacing w:line="360" w:lineRule="auto"/>
              <w:jc w:val="center"/>
              <w:rPr>
                <w:spacing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59" w:hRule="atLeast"/>
        </w:trPr>
        <w:tc>
          <w:tcPr>
            <w:tcW w:w="1788"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spacing w:val="20"/>
              </w:rPr>
            </w:pPr>
            <w:r>
              <w:rPr>
                <w:spacing w:val="20"/>
              </w:rPr>
              <w:t>二、单位优势及特长</w:t>
            </w:r>
          </w:p>
        </w:tc>
        <w:tc>
          <w:tcPr>
            <w:tcW w:w="6780" w:type="dxa"/>
            <w:gridSpan w:val="8"/>
            <w:tcBorders>
              <w:top w:val="single" w:color="auto" w:sz="4" w:space="0"/>
              <w:left w:val="single" w:color="auto" w:sz="4" w:space="0"/>
              <w:bottom w:val="single" w:color="auto" w:sz="4" w:space="0"/>
              <w:right w:val="single" w:color="auto" w:sz="4" w:space="0"/>
            </w:tcBorders>
            <w:vAlign w:val="center"/>
          </w:tcPr>
          <w:p>
            <w:pPr>
              <w:spacing w:line="360" w:lineRule="auto"/>
              <w:jc w:val="center"/>
              <w:rPr>
                <w:spacing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19" w:hRule="atLeast"/>
        </w:trPr>
        <w:tc>
          <w:tcPr>
            <w:tcW w:w="738"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spacing w:val="20"/>
              </w:rPr>
            </w:pPr>
            <w:r>
              <w:rPr>
                <w:spacing w:val="20"/>
              </w:rPr>
              <w:t>三、单</w:t>
            </w:r>
          </w:p>
          <w:p>
            <w:pPr>
              <w:spacing w:line="360" w:lineRule="auto"/>
              <w:jc w:val="center"/>
              <w:rPr>
                <w:spacing w:val="20"/>
              </w:rPr>
            </w:pPr>
            <w:r>
              <w:rPr>
                <w:spacing w:val="20"/>
              </w:rPr>
              <w:t>位</w:t>
            </w:r>
          </w:p>
          <w:p>
            <w:pPr>
              <w:spacing w:line="360" w:lineRule="auto"/>
              <w:jc w:val="center"/>
              <w:rPr>
                <w:spacing w:val="20"/>
              </w:rPr>
            </w:pPr>
            <w:r>
              <w:rPr>
                <w:spacing w:val="20"/>
              </w:rPr>
              <w:t>概</w:t>
            </w:r>
          </w:p>
          <w:p>
            <w:pPr>
              <w:spacing w:line="360" w:lineRule="auto"/>
              <w:jc w:val="center"/>
              <w:rPr>
                <w:spacing w:val="20"/>
              </w:rPr>
            </w:pPr>
            <w:r>
              <w:rPr>
                <w:spacing w:val="20"/>
              </w:rPr>
              <w:t>况</w:t>
            </w:r>
          </w:p>
        </w:tc>
        <w:tc>
          <w:tcPr>
            <w:tcW w:w="1785"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spacing w:val="20"/>
              </w:rPr>
            </w:pPr>
            <w:r>
              <w:rPr>
                <w:spacing w:val="20"/>
              </w:rPr>
              <w:t>职工总数</w:t>
            </w:r>
          </w:p>
        </w:tc>
        <w:tc>
          <w:tcPr>
            <w:tcW w:w="157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spacing w:val="20"/>
              </w:rPr>
            </w:pPr>
          </w:p>
        </w:tc>
        <w:tc>
          <w:tcPr>
            <w:tcW w:w="2741"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spacing w:val="20"/>
              </w:rPr>
            </w:pPr>
            <w:r>
              <w:rPr>
                <w:spacing w:val="20"/>
              </w:rPr>
              <w:t>其中：中级职称人员</w:t>
            </w:r>
          </w:p>
        </w:tc>
        <w:tc>
          <w:tcPr>
            <w:tcW w:w="172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spacing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31" w:hRule="atLeast"/>
        </w:trPr>
        <w:tc>
          <w:tcPr>
            <w:tcW w:w="73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pacing w:val="20"/>
              </w:rPr>
            </w:pPr>
          </w:p>
        </w:tc>
        <w:tc>
          <w:tcPr>
            <w:tcW w:w="7830" w:type="dxa"/>
            <w:gridSpan w:val="10"/>
            <w:tcBorders>
              <w:top w:val="single" w:color="auto" w:sz="4" w:space="0"/>
              <w:left w:val="single" w:color="auto" w:sz="4" w:space="0"/>
              <w:bottom w:val="single" w:color="auto" w:sz="4" w:space="0"/>
              <w:right w:val="single" w:color="auto" w:sz="4" w:space="0"/>
            </w:tcBorders>
            <w:vAlign w:val="center"/>
          </w:tcPr>
          <w:p>
            <w:pPr>
              <w:spacing w:line="360" w:lineRule="auto"/>
              <w:rPr>
                <w:spacing w:val="20"/>
              </w:rPr>
            </w:pPr>
            <w:r>
              <w:rPr>
                <w:spacing w:val="20"/>
              </w:rPr>
              <w:t>资产总计：万元；资产净值：万元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30" w:hRule="atLeast"/>
        </w:trPr>
        <w:tc>
          <w:tcPr>
            <w:tcW w:w="73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pacing w:val="20"/>
              </w:rPr>
            </w:pPr>
          </w:p>
        </w:tc>
        <w:tc>
          <w:tcPr>
            <w:tcW w:w="7830" w:type="dxa"/>
            <w:gridSpan w:val="10"/>
            <w:tcBorders>
              <w:top w:val="single" w:color="auto" w:sz="4" w:space="0"/>
              <w:left w:val="single" w:color="auto" w:sz="4" w:space="0"/>
              <w:bottom w:val="single" w:color="auto" w:sz="4" w:space="0"/>
              <w:right w:val="single" w:color="auto" w:sz="4" w:space="0"/>
            </w:tcBorders>
            <w:vAlign w:val="center"/>
          </w:tcPr>
          <w:p>
            <w:pPr>
              <w:spacing w:line="360" w:lineRule="auto"/>
              <w:rPr>
                <w:spacing w:val="20"/>
              </w:rPr>
            </w:pPr>
            <w:r>
              <w:rPr>
                <w:spacing w:val="20"/>
              </w:rPr>
              <w:t>办公面积：    M</w:t>
            </w:r>
            <w:r>
              <w:rPr>
                <w:spacing w:val="20"/>
                <w:vertAlign w:val="superscript"/>
              </w:rPr>
              <w:t>2</w:t>
            </w:r>
            <w:r>
              <w:rPr>
                <w:spacing w:val="20"/>
              </w:rPr>
              <w:t>，产权：  M</w:t>
            </w:r>
            <w:r>
              <w:rPr>
                <w:spacing w:val="20"/>
                <w:vertAlign w:val="superscript"/>
              </w:rPr>
              <w:t>2</w:t>
            </w:r>
            <w:r>
              <w:rPr>
                <w:spacing w:val="20"/>
              </w:rPr>
              <w:t>，租：   M</w:t>
            </w:r>
            <w:r>
              <w:rPr>
                <w:spacing w:val="20"/>
                <w:vertAlign w:val="superscript"/>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13" w:hRule="atLeast"/>
        </w:trPr>
        <w:tc>
          <w:tcPr>
            <w:tcW w:w="73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pacing w:val="20"/>
              </w:rPr>
            </w:pPr>
          </w:p>
        </w:tc>
        <w:tc>
          <w:tcPr>
            <w:tcW w:w="7830" w:type="dxa"/>
            <w:gridSpan w:val="10"/>
            <w:tcBorders>
              <w:top w:val="single" w:color="auto" w:sz="4" w:space="0"/>
              <w:left w:val="single" w:color="auto" w:sz="4" w:space="0"/>
              <w:bottom w:val="single" w:color="auto" w:sz="4" w:space="0"/>
              <w:right w:val="single" w:color="auto" w:sz="4" w:space="0"/>
            </w:tcBorders>
            <w:vAlign w:val="center"/>
          </w:tcPr>
          <w:p>
            <w:pPr>
              <w:spacing w:line="360" w:lineRule="auto"/>
              <w:rPr>
                <w:spacing w:val="20"/>
              </w:rPr>
            </w:pPr>
            <w:r>
              <w:rPr>
                <w:spacing w:val="20"/>
              </w:rPr>
              <w:t>服务收入：20</w:t>
            </w:r>
            <w:r>
              <w:rPr>
                <w:rFonts w:hint="eastAsia"/>
                <w:spacing w:val="20"/>
              </w:rPr>
              <w:t>21</w:t>
            </w:r>
            <w:r>
              <w:rPr>
                <w:spacing w:val="20"/>
              </w:rPr>
              <w:t>年万元；年：万元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40" w:hRule="atLeast"/>
        </w:trPr>
        <w:tc>
          <w:tcPr>
            <w:tcW w:w="73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pacing w:val="20"/>
              </w:rPr>
            </w:pPr>
          </w:p>
        </w:tc>
        <w:tc>
          <w:tcPr>
            <w:tcW w:w="7830" w:type="dxa"/>
            <w:gridSpan w:val="10"/>
            <w:tcBorders>
              <w:top w:val="single" w:color="auto" w:sz="4" w:space="0"/>
              <w:left w:val="single" w:color="auto" w:sz="4" w:space="0"/>
              <w:bottom w:val="single" w:color="auto" w:sz="4" w:space="0"/>
              <w:right w:val="single" w:color="auto" w:sz="4" w:space="0"/>
            </w:tcBorders>
            <w:vAlign w:val="center"/>
          </w:tcPr>
          <w:p>
            <w:pPr>
              <w:spacing w:line="360" w:lineRule="auto"/>
              <w:rPr>
                <w:spacing w:val="20"/>
              </w:rPr>
            </w:pPr>
            <w:r>
              <w:rPr>
                <w:spacing w:val="20"/>
              </w:rPr>
              <w:t>实现盈余：20</w:t>
            </w:r>
            <w:r>
              <w:rPr>
                <w:rFonts w:hint="eastAsia"/>
                <w:spacing w:val="20"/>
              </w:rPr>
              <w:t>21</w:t>
            </w:r>
            <w:r>
              <w:rPr>
                <w:spacing w:val="20"/>
              </w:rPr>
              <w:t>年万元；年：万元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73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pacing w:val="20"/>
              </w:rPr>
            </w:pPr>
          </w:p>
        </w:tc>
        <w:tc>
          <w:tcPr>
            <w:tcW w:w="630"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spacing w:val="20"/>
              </w:rPr>
            </w:pPr>
            <w:r>
              <w:rPr>
                <w:spacing w:val="20"/>
              </w:rPr>
              <w:t>主</w:t>
            </w:r>
          </w:p>
          <w:p>
            <w:pPr>
              <w:spacing w:line="360" w:lineRule="auto"/>
              <w:jc w:val="center"/>
              <w:rPr>
                <w:spacing w:val="20"/>
              </w:rPr>
            </w:pPr>
            <w:r>
              <w:rPr>
                <w:spacing w:val="20"/>
              </w:rPr>
              <w:t>要</w:t>
            </w:r>
          </w:p>
          <w:p>
            <w:pPr>
              <w:spacing w:line="360" w:lineRule="auto"/>
              <w:jc w:val="center"/>
              <w:rPr>
                <w:spacing w:val="20"/>
              </w:rPr>
            </w:pPr>
            <w:r>
              <w:rPr>
                <w:spacing w:val="20"/>
              </w:rPr>
              <w:t>业务</w:t>
            </w:r>
          </w:p>
        </w:tc>
        <w:tc>
          <w:tcPr>
            <w:tcW w:w="7200"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rPr>
                <w:spacing w:val="20"/>
              </w:rPr>
            </w:pPr>
            <w:r>
              <w:rPr>
                <w:spacing w:val="20"/>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73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pacing w:val="20"/>
              </w:rPr>
            </w:pPr>
          </w:p>
        </w:tc>
        <w:tc>
          <w:tcPr>
            <w:tcW w:w="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pacing w:val="20"/>
              </w:rPr>
            </w:pPr>
          </w:p>
        </w:tc>
        <w:tc>
          <w:tcPr>
            <w:tcW w:w="7200"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rPr>
                <w:spacing w:val="20"/>
              </w:rPr>
            </w:pPr>
            <w:r>
              <w:rPr>
                <w:spacing w:val="20"/>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4" w:hRule="atLeast"/>
        </w:trPr>
        <w:tc>
          <w:tcPr>
            <w:tcW w:w="73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pacing w:val="20"/>
              </w:rPr>
            </w:pPr>
          </w:p>
        </w:tc>
        <w:tc>
          <w:tcPr>
            <w:tcW w:w="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pacing w:val="20"/>
              </w:rPr>
            </w:pPr>
          </w:p>
        </w:tc>
        <w:tc>
          <w:tcPr>
            <w:tcW w:w="7200"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rPr>
                <w:spacing w:val="20"/>
              </w:rPr>
            </w:pPr>
            <w:r>
              <w:rPr>
                <w:spacing w:val="20"/>
              </w:rPr>
              <w:t>3</w:t>
            </w:r>
          </w:p>
        </w:tc>
      </w:tr>
    </w:tbl>
    <w:p>
      <w:pPr>
        <w:overflowPunct w:val="0"/>
      </w:pPr>
    </w:p>
    <w:p>
      <w:pPr>
        <w:widowControl/>
        <w:jc w:val="left"/>
        <w:rPr>
          <w:szCs w:val="21"/>
        </w:rPr>
      </w:pPr>
      <w:r>
        <w:br w:type="page"/>
      </w:r>
      <w:r>
        <w:rPr>
          <w:b/>
          <w:bCs/>
          <w:szCs w:val="21"/>
        </w:rPr>
        <w:t>格式</w:t>
      </w:r>
      <w:r>
        <w:rPr>
          <w:rFonts w:hint="eastAsia"/>
          <w:b/>
          <w:bCs/>
          <w:szCs w:val="21"/>
        </w:rPr>
        <w:t>6</w:t>
      </w:r>
      <w:r>
        <w:rPr>
          <w:b/>
          <w:bCs/>
          <w:szCs w:val="21"/>
        </w:rPr>
        <w:t>：</w:t>
      </w:r>
    </w:p>
    <w:p>
      <w:pPr>
        <w:autoSpaceDE w:val="0"/>
        <w:autoSpaceDN w:val="0"/>
        <w:adjustRightInd w:val="0"/>
        <w:spacing w:line="400" w:lineRule="exact"/>
        <w:jc w:val="center"/>
        <w:rPr>
          <w:b/>
          <w:sz w:val="32"/>
          <w:szCs w:val="32"/>
          <w:lang w:val="zh-CN"/>
        </w:rPr>
      </w:pPr>
      <w:r>
        <w:rPr>
          <w:b/>
          <w:sz w:val="32"/>
          <w:szCs w:val="32"/>
          <w:lang w:val="zh-CN"/>
        </w:rPr>
        <w:t>中小企业声明函</w:t>
      </w:r>
    </w:p>
    <w:p>
      <w:pPr>
        <w:adjustRightInd w:val="0"/>
        <w:spacing w:line="400" w:lineRule="exact"/>
        <w:rPr>
          <w:kern w:val="0"/>
          <w:szCs w:val="21"/>
        </w:rPr>
      </w:pPr>
    </w:p>
    <w:p>
      <w:pPr>
        <w:adjustRightInd w:val="0"/>
        <w:spacing w:line="400" w:lineRule="exact"/>
        <w:rPr>
          <w:kern w:val="0"/>
          <w:szCs w:val="21"/>
        </w:rPr>
      </w:pPr>
      <w:r>
        <w:rPr>
          <w:kern w:val="0"/>
          <w:szCs w:val="21"/>
        </w:rPr>
        <w:t>XXXX：</w:t>
      </w:r>
    </w:p>
    <w:p>
      <w:pPr>
        <w:autoSpaceDE w:val="0"/>
        <w:autoSpaceDN w:val="0"/>
        <w:adjustRightInd w:val="0"/>
        <w:spacing w:line="400" w:lineRule="exact"/>
        <w:ind w:firstLine="630" w:firstLineChars="300"/>
        <w:rPr>
          <w:szCs w:val="21"/>
        </w:rPr>
      </w:pPr>
      <w:r>
        <w:rPr>
          <w:szCs w:val="21"/>
        </w:rPr>
        <w:t>本公司郑重声明，根据《政府采购促进中小企业发展暂行办法》（财库[2011]181号）的规定，本公司为______（请填写：中型、小型、微型）企业。即，本公司同时满足以下条件：</w:t>
      </w:r>
    </w:p>
    <w:p>
      <w:pPr>
        <w:autoSpaceDE w:val="0"/>
        <w:autoSpaceDN w:val="0"/>
        <w:adjustRightInd w:val="0"/>
        <w:spacing w:line="400" w:lineRule="exact"/>
        <w:ind w:firstLine="420" w:firstLineChars="200"/>
        <w:rPr>
          <w:szCs w:val="21"/>
        </w:rPr>
      </w:pPr>
      <w:r>
        <w:rPr>
          <w:szCs w:val="21"/>
        </w:rPr>
        <w:t>1、根据《工业和信息化部、国家统计局、国家发展和改革委员会、财政部关于印发中小企业划型标准规定的通知》（工信部联企业[2011]300号）规定的划分标准，本公司属于_____行业（行业选择范围见备注3），为______（请填写：中型、小型、微型）企业。</w:t>
      </w:r>
    </w:p>
    <w:p>
      <w:pPr>
        <w:autoSpaceDE w:val="0"/>
        <w:autoSpaceDN w:val="0"/>
        <w:adjustRightInd w:val="0"/>
        <w:spacing w:line="400" w:lineRule="exact"/>
        <w:ind w:firstLine="420" w:firstLineChars="200"/>
        <w:rPr>
          <w:szCs w:val="21"/>
        </w:rPr>
      </w:pPr>
      <w:r>
        <w:rPr>
          <w:szCs w:val="21"/>
        </w:rPr>
        <w:t>2、本公司参加（采购单位名称）单位的（采购编号及项目名称）项目采购活动，承诺由本公司提供服务。</w:t>
      </w:r>
    </w:p>
    <w:p>
      <w:pPr>
        <w:autoSpaceDE w:val="0"/>
        <w:autoSpaceDN w:val="0"/>
        <w:adjustRightInd w:val="0"/>
        <w:spacing w:line="400" w:lineRule="exact"/>
        <w:ind w:firstLine="525" w:firstLineChars="250"/>
        <w:rPr>
          <w:szCs w:val="21"/>
        </w:rPr>
      </w:pPr>
      <w:r>
        <w:rPr>
          <w:szCs w:val="21"/>
        </w:rPr>
        <w:t>本公司对上述声明的真实性负责。如有虚假，将依法承担相应责任。</w:t>
      </w:r>
    </w:p>
    <w:p>
      <w:pPr>
        <w:spacing w:line="588" w:lineRule="exact"/>
        <w:ind w:firstLine="420" w:firstLineChars="200"/>
        <w:rPr>
          <w:szCs w:val="21"/>
        </w:rPr>
      </w:pPr>
    </w:p>
    <w:p>
      <w:pPr>
        <w:spacing w:line="588" w:lineRule="exact"/>
        <w:ind w:firstLine="420" w:firstLineChars="200"/>
        <w:rPr>
          <w:szCs w:val="21"/>
        </w:rPr>
      </w:pPr>
    </w:p>
    <w:p>
      <w:pPr>
        <w:tabs>
          <w:tab w:val="left" w:pos="4860"/>
        </w:tabs>
        <w:spacing w:line="588" w:lineRule="exact"/>
        <w:ind w:right="1560" w:firstLine="420" w:firstLineChars="200"/>
        <w:jc w:val="right"/>
        <w:rPr>
          <w:szCs w:val="21"/>
        </w:rPr>
      </w:pPr>
      <w:r>
        <w:rPr>
          <w:szCs w:val="21"/>
        </w:rPr>
        <w:t>企业名称（盖章）：</w:t>
      </w:r>
    </w:p>
    <w:p>
      <w:pPr>
        <w:autoSpaceDE w:val="0"/>
        <w:autoSpaceDN w:val="0"/>
        <w:adjustRightInd w:val="0"/>
        <w:spacing w:line="360" w:lineRule="auto"/>
        <w:ind w:right="492"/>
        <w:jc w:val="center"/>
        <w:rPr>
          <w:szCs w:val="21"/>
        </w:rPr>
      </w:pPr>
      <w:r>
        <w:rPr>
          <w:szCs w:val="21"/>
        </w:rPr>
        <w:t xml:space="preserve">                          日期：</w:t>
      </w:r>
    </w:p>
    <w:p>
      <w:pPr>
        <w:jc w:val="right"/>
      </w:pPr>
    </w:p>
    <w:p>
      <w:pPr>
        <w:jc w:val="righ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pStyle w:val="2"/>
      </w:pPr>
    </w:p>
    <w:p>
      <w:pPr>
        <w:jc w:val="left"/>
      </w:pPr>
    </w:p>
    <w:p>
      <w:pPr>
        <w:jc w:val="left"/>
      </w:pPr>
    </w:p>
    <w:p>
      <w:pPr>
        <w:jc w:val="left"/>
      </w:pPr>
    </w:p>
    <w:p>
      <w:pPr>
        <w:widowControl/>
        <w:jc w:val="left"/>
        <w:rPr>
          <w:b/>
          <w:bCs/>
          <w:sz w:val="32"/>
          <w:szCs w:val="32"/>
        </w:rPr>
      </w:pPr>
      <w:r>
        <w:rPr>
          <w:b/>
          <w:bCs/>
          <w:szCs w:val="21"/>
        </w:rPr>
        <w:t>格式</w:t>
      </w:r>
      <w:r>
        <w:rPr>
          <w:rFonts w:hint="eastAsia"/>
          <w:b/>
          <w:bCs/>
          <w:szCs w:val="21"/>
        </w:rPr>
        <w:t>7</w:t>
      </w:r>
      <w:r>
        <w:rPr>
          <w:b/>
          <w:bCs/>
          <w:szCs w:val="21"/>
        </w:rPr>
        <w:t>：</w:t>
      </w:r>
    </w:p>
    <w:p>
      <w:pPr>
        <w:widowControl/>
        <w:jc w:val="center"/>
        <w:rPr>
          <w:b/>
          <w:bCs/>
          <w:sz w:val="32"/>
          <w:szCs w:val="32"/>
        </w:rPr>
      </w:pPr>
    </w:p>
    <w:p>
      <w:pPr>
        <w:widowControl/>
        <w:jc w:val="center"/>
        <w:rPr>
          <w:b/>
          <w:bCs/>
          <w:sz w:val="32"/>
          <w:szCs w:val="32"/>
        </w:rPr>
      </w:pPr>
      <w:r>
        <w:rPr>
          <w:b/>
          <w:bCs/>
          <w:sz w:val="32"/>
          <w:szCs w:val="32"/>
        </w:rPr>
        <w:t>残疾人福利性单位声明函</w:t>
      </w:r>
    </w:p>
    <w:p>
      <w:pPr>
        <w:widowControl/>
        <w:jc w:val="center"/>
        <w:rPr>
          <w:b/>
          <w:bCs/>
          <w:sz w:val="32"/>
          <w:szCs w:val="32"/>
        </w:rPr>
      </w:pPr>
    </w:p>
    <w:p>
      <w:pPr>
        <w:widowControl/>
        <w:jc w:val="center"/>
        <w:rPr>
          <w:spacing w:val="6"/>
          <w:sz w:val="32"/>
          <w:szCs w:val="32"/>
        </w:rPr>
      </w:pPr>
    </w:p>
    <w:p>
      <w:pPr>
        <w:adjustRightInd w:val="0"/>
        <w:spacing w:line="400" w:lineRule="exact"/>
        <w:ind w:firstLine="420" w:firstLineChars="200"/>
        <w:rPr>
          <w:kern w:val="0"/>
          <w:szCs w:val="21"/>
        </w:rPr>
      </w:pPr>
      <w:r>
        <w:rPr>
          <w:kern w:val="0"/>
          <w:szCs w:val="21"/>
        </w:rPr>
        <w:t>本单位郑重声明，根据《财政部、民政部、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adjustRightInd w:val="0"/>
        <w:spacing w:line="400" w:lineRule="exact"/>
        <w:ind w:firstLine="420" w:firstLineChars="200"/>
        <w:rPr>
          <w:kern w:val="0"/>
          <w:szCs w:val="21"/>
        </w:rPr>
      </w:pPr>
      <w:r>
        <w:rPr>
          <w:kern w:val="0"/>
          <w:szCs w:val="21"/>
        </w:rPr>
        <w:t>本单位对上述声明的真实性负责。如有虚假，将依法承担相应责任。</w:t>
      </w:r>
    </w:p>
    <w:p>
      <w:pPr>
        <w:adjustRightInd w:val="0"/>
        <w:spacing w:line="400" w:lineRule="exact"/>
        <w:jc w:val="right"/>
        <w:rPr>
          <w:kern w:val="0"/>
          <w:szCs w:val="21"/>
        </w:rPr>
      </w:pPr>
      <w:r>
        <w:rPr>
          <w:kern w:val="0"/>
          <w:szCs w:val="21"/>
        </w:rPr>
        <w:t xml:space="preserve">                      </w:t>
      </w:r>
    </w:p>
    <w:p>
      <w:pPr>
        <w:adjustRightInd w:val="0"/>
        <w:spacing w:line="400" w:lineRule="exact"/>
        <w:jc w:val="right"/>
        <w:rPr>
          <w:kern w:val="0"/>
          <w:szCs w:val="21"/>
        </w:rPr>
      </w:pPr>
    </w:p>
    <w:p>
      <w:pPr>
        <w:adjustRightInd w:val="0"/>
        <w:spacing w:line="400" w:lineRule="exact"/>
        <w:jc w:val="right"/>
        <w:rPr>
          <w:kern w:val="0"/>
          <w:szCs w:val="21"/>
        </w:rPr>
      </w:pPr>
    </w:p>
    <w:p>
      <w:pPr>
        <w:adjustRightInd w:val="0"/>
        <w:spacing w:line="400" w:lineRule="exact"/>
        <w:jc w:val="right"/>
        <w:rPr>
          <w:kern w:val="0"/>
          <w:szCs w:val="21"/>
        </w:rPr>
      </w:pPr>
      <w:r>
        <w:rPr>
          <w:kern w:val="0"/>
          <w:szCs w:val="21"/>
        </w:rPr>
        <w:tab/>
      </w:r>
      <w:r>
        <w:rPr>
          <w:kern w:val="0"/>
          <w:szCs w:val="21"/>
        </w:rPr>
        <w:t>单位名称（盖章）：</w:t>
      </w:r>
    </w:p>
    <w:p>
      <w:pPr>
        <w:adjustRightInd w:val="0"/>
        <w:spacing w:line="400" w:lineRule="exact"/>
        <w:jc w:val="right"/>
        <w:rPr>
          <w:kern w:val="0"/>
          <w:szCs w:val="21"/>
        </w:rPr>
      </w:pPr>
      <w:r>
        <w:rPr>
          <w:kern w:val="0"/>
          <w:szCs w:val="21"/>
        </w:rPr>
        <w:t xml:space="preserve">        </w:t>
      </w:r>
    </w:p>
    <w:p>
      <w:pPr>
        <w:adjustRightInd w:val="0"/>
        <w:spacing w:line="400" w:lineRule="exact"/>
        <w:jc w:val="right"/>
        <w:rPr>
          <w:kern w:val="0"/>
          <w:szCs w:val="21"/>
        </w:rPr>
      </w:pPr>
    </w:p>
    <w:p>
      <w:pPr>
        <w:overflowPunct w:val="0"/>
        <w:spacing w:line="400" w:lineRule="exact"/>
        <w:ind w:firstLine="420" w:firstLineChars="200"/>
        <w:jc w:val="left"/>
        <w:rPr>
          <w:szCs w:val="21"/>
        </w:rPr>
      </w:pPr>
      <w:r>
        <w:rPr>
          <w:kern w:val="0"/>
          <w:szCs w:val="21"/>
        </w:rPr>
        <w:t xml:space="preserve">                                                                   日  期：</w:t>
      </w:r>
    </w:p>
    <w:p>
      <w:pPr>
        <w:pStyle w:val="50"/>
        <w:spacing w:line="360" w:lineRule="auto"/>
        <w:rPr>
          <w:rFonts w:eastAsia="宋体" w:cs="Times New Roman"/>
          <w:szCs w:val="21"/>
        </w:rPr>
      </w:pPr>
      <w:r>
        <w:rPr>
          <w:rFonts w:eastAsia="宋体" w:cs="Times New Roman"/>
          <w:szCs w:val="21"/>
        </w:rPr>
        <w:t xml:space="preserve"> </w:t>
      </w:r>
    </w:p>
    <w:p>
      <w:pPr>
        <w:pStyle w:val="50"/>
        <w:rPr>
          <w:rFonts w:eastAsia="宋体" w:cs="Times New Roman"/>
          <w:szCs w:val="21"/>
        </w:rPr>
      </w:pPr>
    </w:p>
    <w:p>
      <w:pPr>
        <w:spacing w:line="400" w:lineRule="exact"/>
        <w:ind w:right="420"/>
      </w:pPr>
    </w:p>
    <w:p>
      <w:pPr>
        <w:spacing w:line="400" w:lineRule="exact"/>
        <w:ind w:right="420"/>
      </w:pPr>
    </w:p>
    <w:p>
      <w:pPr>
        <w:pStyle w:val="7"/>
        <w:kinsoku w:val="0"/>
        <w:topLinePunct/>
        <w:autoSpaceDE w:val="0"/>
        <w:autoSpaceDN w:val="0"/>
        <w:snapToGrid w:val="0"/>
        <w:spacing w:before="100" w:beforeAutospacing="1" w:after="100" w:afterAutospacing="1" w:line="360" w:lineRule="auto"/>
        <w:ind w:right="210" w:firstLine="0"/>
        <w:rPr>
          <w:rFonts w:ascii="宋体" w:hAnsi="宋体"/>
          <w:sz w:val="24"/>
          <w:szCs w:val="24"/>
        </w:rPr>
      </w:pPr>
    </w:p>
    <w:sectPr>
      <w:headerReference r:id="rId3" w:type="default"/>
      <w:footerReference r:id="rId4" w:type="default"/>
      <w:footerReference r:id="rId5" w:type="even"/>
      <w:pgSz w:w="11906" w:h="16838"/>
      <w:pgMar w:top="1440" w:right="1133" w:bottom="1440" w:left="127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0"/>
      </w:rPr>
    </w:pPr>
    <w:r>
      <w:fldChar w:fldCharType="begin"/>
    </w:r>
    <w:r>
      <w:rPr>
        <w:rStyle w:val="20"/>
      </w:rPr>
      <w:instrText xml:space="preserve">PAGE  </w:instrText>
    </w:r>
    <w:r>
      <w:fldChar w:fldCharType="separate"/>
    </w:r>
    <w:r>
      <w:rPr>
        <w:rStyle w:val="20"/>
      </w:rPr>
      <w:t>10</w:t>
    </w:r>
    <w:r>
      <w:fldChar w:fldCharType="end"/>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0"/>
      </w:rPr>
    </w:pPr>
    <w:r>
      <w:fldChar w:fldCharType="begin"/>
    </w:r>
    <w:r>
      <w:rPr>
        <w:rStyle w:val="20"/>
      </w:rPr>
      <w:instrText xml:space="preserve">PAGE  </w:instrText>
    </w:r>
    <w:r>
      <w:fldChar w:fldCharType="end"/>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DC5B1F"/>
    <w:multiLevelType w:val="multilevel"/>
    <w:tmpl w:val="06DC5B1F"/>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5A430374"/>
    <w:multiLevelType w:val="singleLevel"/>
    <w:tmpl w:val="5A430374"/>
    <w:lvl w:ilvl="0" w:tentative="0">
      <w:start w:val="1"/>
      <w:numFmt w:val="decimal"/>
      <w:suff w:val="nothing"/>
      <w:lvlText w:val="%1、"/>
      <w:lvlJc w:val="left"/>
      <w:pPr>
        <w:ind w:left="0" w:firstLine="0"/>
      </w:pPr>
      <w:rPr>
        <w:rFonts w:hint="eastAsia"/>
      </w:rPr>
    </w:lvl>
  </w:abstractNum>
  <w:abstractNum w:abstractNumId="2">
    <w:nsid w:val="77118A74"/>
    <w:multiLevelType w:val="singleLevel"/>
    <w:tmpl w:val="77118A74"/>
    <w:lvl w:ilvl="0" w:tentative="0">
      <w:start w:val="11"/>
      <w:numFmt w:val="decimal"/>
      <w:suff w:val="space"/>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Y2ZWJkMTA2M2ViMjgxNTY3MWNmZTAyYzM1ZDBmYWQifQ=="/>
  </w:docVars>
  <w:rsids>
    <w:rsidRoot w:val="004D3FC2"/>
    <w:rsid w:val="000010F0"/>
    <w:rsid w:val="000016EB"/>
    <w:rsid w:val="00001770"/>
    <w:rsid w:val="0000288D"/>
    <w:rsid w:val="0000371E"/>
    <w:rsid w:val="00004476"/>
    <w:rsid w:val="00005EF6"/>
    <w:rsid w:val="0000664F"/>
    <w:rsid w:val="00007345"/>
    <w:rsid w:val="000076AB"/>
    <w:rsid w:val="00010A67"/>
    <w:rsid w:val="00010B51"/>
    <w:rsid w:val="00011AA6"/>
    <w:rsid w:val="00011C17"/>
    <w:rsid w:val="0001344B"/>
    <w:rsid w:val="00013C18"/>
    <w:rsid w:val="00014233"/>
    <w:rsid w:val="000148A9"/>
    <w:rsid w:val="000149B7"/>
    <w:rsid w:val="00015E91"/>
    <w:rsid w:val="000170A9"/>
    <w:rsid w:val="00017F2F"/>
    <w:rsid w:val="00020EA2"/>
    <w:rsid w:val="00022DA9"/>
    <w:rsid w:val="000237B8"/>
    <w:rsid w:val="00023DBA"/>
    <w:rsid w:val="00026D2E"/>
    <w:rsid w:val="00032571"/>
    <w:rsid w:val="00032660"/>
    <w:rsid w:val="00033177"/>
    <w:rsid w:val="00033679"/>
    <w:rsid w:val="00033FBF"/>
    <w:rsid w:val="00035381"/>
    <w:rsid w:val="000360D6"/>
    <w:rsid w:val="00037961"/>
    <w:rsid w:val="00041225"/>
    <w:rsid w:val="0004155C"/>
    <w:rsid w:val="00043472"/>
    <w:rsid w:val="00044450"/>
    <w:rsid w:val="00044462"/>
    <w:rsid w:val="000475B3"/>
    <w:rsid w:val="0004788E"/>
    <w:rsid w:val="0005142E"/>
    <w:rsid w:val="00051D0A"/>
    <w:rsid w:val="000556EE"/>
    <w:rsid w:val="000559D6"/>
    <w:rsid w:val="00055A70"/>
    <w:rsid w:val="00056974"/>
    <w:rsid w:val="00060640"/>
    <w:rsid w:val="000623A2"/>
    <w:rsid w:val="0006281A"/>
    <w:rsid w:val="00062E49"/>
    <w:rsid w:val="000650F4"/>
    <w:rsid w:val="000659A3"/>
    <w:rsid w:val="00066EC0"/>
    <w:rsid w:val="00067D54"/>
    <w:rsid w:val="000702C1"/>
    <w:rsid w:val="00070E75"/>
    <w:rsid w:val="00072F1D"/>
    <w:rsid w:val="00073022"/>
    <w:rsid w:val="00073904"/>
    <w:rsid w:val="00074172"/>
    <w:rsid w:val="00074916"/>
    <w:rsid w:val="0007577A"/>
    <w:rsid w:val="00075B40"/>
    <w:rsid w:val="00076C57"/>
    <w:rsid w:val="00077E7B"/>
    <w:rsid w:val="00080874"/>
    <w:rsid w:val="0008130B"/>
    <w:rsid w:val="00081876"/>
    <w:rsid w:val="00083261"/>
    <w:rsid w:val="00084176"/>
    <w:rsid w:val="00084F2A"/>
    <w:rsid w:val="000857C3"/>
    <w:rsid w:val="000857F8"/>
    <w:rsid w:val="00090681"/>
    <w:rsid w:val="00090A34"/>
    <w:rsid w:val="00091824"/>
    <w:rsid w:val="000940AE"/>
    <w:rsid w:val="00096EC9"/>
    <w:rsid w:val="000A1C14"/>
    <w:rsid w:val="000A1E66"/>
    <w:rsid w:val="000A1E8D"/>
    <w:rsid w:val="000A3D15"/>
    <w:rsid w:val="000A5D1B"/>
    <w:rsid w:val="000A5E51"/>
    <w:rsid w:val="000A603D"/>
    <w:rsid w:val="000A6785"/>
    <w:rsid w:val="000A696E"/>
    <w:rsid w:val="000A7A83"/>
    <w:rsid w:val="000A7C49"/>
    <w:rsid w:val="000B060B"/>
    <w:rsid w:val="000B0DD9"/>
    <w:rsid w:val="000B107D"/>
    <w:rsid w:val="000B1221"/>
    <w:rsid w:val="000B381D"/>
    <w:rsid w:val="000B5BB7"/>
    <w:rsid w:val="000B6624"/>
    <w:rsid w:val="000B6F32"/>
    <w:rsid w:val="000B725E"/>
    <w:rsid w:val="000B727A"/>
    <w:rsid w:val="000C1855"/>
    <w:rsid w:val="000C1C20"/>
    <w:rsid w:val="000C2163"/>
    <w:rsid w:val="000C31F3"/>
    <w:rsid w:val="000C36E0"/>
    <w:rsid w:val="000C4602"/>
    <w:rsid w:val="000C4E74"/>
    <w:rsid w:val="000C54D2"/>
    <w:rsid w:val="000C5B02"/>
    <w:rsid w:val="000C697A"/>
    <w:rsid w:val="000C6BDE"/>
    <w:rsid w:val="000D063B"/>
    <w:rsid w:val="000D236C"/>
    <w:rsid w:val="000D30F4"/>
    <w:rsid w:val="000D33EB"/>
    <w:rsid w:val="000D59B0"/>
    <w:rsid w:val="000D5C83"/>
    <w:rsid w:val="000D772F"/>
    <w:rsid w:val="000D7ED9"/>
    <w:rsid w:val="000E01EB"/>
    <w:rsid w:val="000E1750"/>
    <w:rsid w:val="000E1946"/>
    <w:rsid w:val="000E51AA"/>
    <w:rsid w:val="000E5495"/>
    <w:rsid w:val="000E6CB7"/>
    <w:rsid w:val="000E6FCB"/>
    <w:rsid w:val="000E7422"/>
    <w:rsid w:val="000E7502"/>
    <w:rsid w:val="000E7C35"/>
    <w:rsid w:val="000E7FE9"/>
    <w:rsid w:val="000F026F"/>
    <w:rsid w:val="000F02E7"/>
    <w:rsid w:val="000F0499"/>
    <w:rsid w:val="000F0779"/>
    <w:rsid w:val="000F1012"/>
    <w:rsid w:val="000F2C2B"/>
    <w:rsid w:val="000F3D4D"/>
    <w:rsid w:val="000F6EB8"/>
    <w:rsid w:val="000F76F7"/>
    <w:rsid w:val="00100888"/>
    <w:rsid w:val="00102911"/>
    <w:rsid w:val="00102B30"/>
    <w:rsid w:val="00103CDD"/>
    <w:rsid w:val="0010565E"/>
    <w:rsid w:val="00106228"/>
    <w:rsid w:val="001079E8"/>
    <w:rsid w:val="00107E48"/>
    <w:rsid w:val="00107FB1"/>
    <w:rsid w:val="00110C9E"/>
    <w:rsid w:val="0011110D"/>
    <w:rsid w:val="00111277"/>
    <w:rsid w:val="00112F4A"/>
    <w:rsid w:val="0011588F"/>
    <w:rsid w:val="00115B23"/>
    <w:rsid w:val="00115BB7"/>
    <w:rsid w:val="00116E06"/>
    <w:rsid w:val="00120E9F"/>
    <w:rsid w:val="0012132B"/>
    <w:rsid w:val="00121DEF"/>
    <w:rsid w:val="0012501B"/>
    <w:rsid w:val="00126134"/>
    <w:rsid w:val="00126C21"/>
    <w:rsid w:val="00127A20"/>
    <w:rsid w:val="00130F4B"/>
    <w:rsid w:val="001319FC"/>
    <w:rsid w:val="0013276B"/>
    <w:rsid w:val="001329C8"/>
    <w:rsid w:val="001347E7"/>
    <w:rsid w:val="00135CB2"/>
    <w:rsid w:val="00136291"/>
    <w:rsid w:val="00136381"/>
    <w:rsid w:val="00137FC5"/>
    <w:rsid w:val="001405A7"/>
    <w:rsid w:val="00145EBA"/>
    <w:rsid w:val="0014662E"/>
    <w:rsid w:val="00151319"/>
    <w:rsid w:val="00151640"/>
    <w:rsid w:val="0015212D"/>
    <w:rsid w:val="001534A8"/>
    <w:rsid w:val="00154D3A"/>
    <w:rsid w:val="00154ED2"/>
    <w:rsid w:val="00156D22"/>
    <w:rsid w:val="00157635"/>
    <w:rsid w:val="0015773B"/>
    <w:rsid w:val="00160F37"/>
    <w:rsid w:val="00161F0F"/>
    <w:rsid w:val="00161FAC"/>
    <w:rsid w:val="00163E98"/>
    <w:rsid w:val="00164C11"/>
    <w:rsid w:val="00165468"/>
    <w:rsid w:val="00166C0C"/>
    <w:rsid w:val="00166D99"/>
    <w:rsid w:val="00167551"/>
    <w:rsid w:val="001711A2"/>
    <w:rsid w:val="00173350"/>
    <w:rsid w:val="00174720"/>
    <w:rsid w:val="00176EF2"/>
    <w:rsid w:val="001777E8"/>
    <w:rsid w:val="00181479"/>
    <w:rsid w:val="00181E3D"/>
    <w:rsid w:val="00182BA4"/>
    <w:rsid w:val="001859B8"/>
    <w:rsid w:val="00186AC9"/>
    <w:rsid w:val="00187546"/>
    <w:rsid w:val="00192C95"/>
    <w:rsid w:val="00193E6A"/>
    <w:rsid w:val="00194C47"/>
    <w:rsid w:val="00194E69"/>
    <w:rsid w:val="001958A5"/>
    <w:rsid w:val="0019624C"/>
    <w:rsid w:val="001963A3"/>
    <w:rsid w:val="00196EC4"/>
    <w:rsid w:val="00197CE2"/>
    <w:rsid w:val="001A00D1"/>
    <w:rsid w:val="001A0F1A"/>
    <w:rsid w:val="001A21F4"/>
    <w:rsid w:val="001A245D"/>
    <w:rsid w:val="001A78F4"/>
    <w:rsid w:val="001B05C0"/>
    <w:rsid w:val="001B263D"/>
    <w:rsid w:val="001B2C36"/>
    <w:rsid w:val="001B46DF"/>
    <w:rsid w:val="001B4E1C"/>
    <w:rsid w:val="001B5F16"/>
    <w:rsid w:val="001C0C2F"/>
    <w:rsid w:val="001C2E83"/>
    <w:rsid w:val="001C3794"/>
    <w:rsid w:val="001C3DAD"/>
    <w:rsid w:val="001C60AA"/>
    <w:rsid w:val="001C68CD"/>
    <w:rsid w:val="001D1098"/>
    <w:rsid w:val="001D1BA4"/>
    <w:rsid w:val="001D210C"/>
    <w:rsid w:val="001D2292"/>
    <w:rsid w:val="001D232D"/>
    <w:rsid w:val="001D404B"/>
    <w:rsid w:val="001D50F7"/>
    <w:rsid w:val="001D7123"/>
    <w:rsid w:val="001D75E9"/>
    <w:rsid w:val="001E0F4C"/>
    <w:rsid w:val="001E169B"/>
    <w:rsid w:val="001E1889"/>
    <w:rsid w:val="001E22D8"/>
    <w:rsid w:val="001E29FA"/>
    <w:rsid w:val="001E2B2B"/>
    <w:rsid w:val="001E34A8"/>
    <w:rsid w:val="001E4D70"/>
    <w:rsid w:val="001E701E"/>
    <w:rsid w:val="001F0894"/>
    <w:rsid w:val="001F0F6D"/>
    <w:rsid w:val="001F3E7D"/>
    <w:rsid w:val="001F4CEF"/>
    <w:rsid w:val="001F577F"/>
    <w:rsid w:val="001F5DE9"/>
    <w:rsid w:val="001F67F5"/>
    <w:rsid w:val="001F698C"/>
    <w:rsid w:val="001F6C1F"/>
    <w:rsid w:val="001F7379"/>
    <w:rsid w:val="001F7852"/>
    <w:rsid w:val="001F7DCD"/>
    <w:rsid w:val="0020053F"/>
    <w:rsid w:val="002033B7"/>
    <w:rsid w:val="002037E1"/>
    <w:rsid w:val="00204FAA"/>
    <w:rsid w:val="002051B6"/>
    <w:rsid w:val="002052D2"/>
    <w:rsid w:val="00205887"/>
    <w:rsid w:val="002100E2"/>
    <w:rsid w:val="00210C16"/>
    <w:rsid w:val="00211379"/>
    <w:rsid w:val="00211634"/>
    <w:rsid w:val="00211F83"/>
    <w:rsid w:val="00212A71"/>
    <w:rsid w:val="0021428E"/>
    <w:rsid w:val="002145EE"/>
    <w:rsid w:val="0021489E"/>
    <w:rsid w:val="00214CD2"/>
    <w:rsid w:val="00216C72"/>
    <w:rsid w:val="00216DD2"/>
    <w:rsid w:val="00217AC9"/>
    <w:rsid w:val="002203CA"/>
    <w:rsid w:val="0022088F"/>
    <w:rsid w:val="0022096B"/>
    <w:rsid w:val="0022153F"/>
    <w:rsid w:val="00223F12"/>
    <w:rsid w:val="00224645"/>
    <w:rsid w:val="0022595C"/>
    <w:rsid w:val="00227235"/>
    <w:rsid w:val="002304B6"/>
    <w:rsid w:val="00230B07"/>
    <w:rsid w:val="00231545"/>
    <w:rsid w:val="00231BAD"/>
    <w:rsid w:val="002322E4"/>
    <w:rsid w:val="002329E5"/>
    <w:rsid w:val="002343E2"/>
    <w:rsid w:val="00234D4D"/>
    <w:rsid w:val="00234F15"/>
    <w:rsid w:val="002356F6"/>
    <w:rsid w:val="0023573C"/>
    <w:rsid w:val="002363E9"/>
    <w:rsid w:val="0023778C"/>
    <w:rsid w:val="0023798E"/>
    <w:rsid w:val="0024099D"/>
    <w:rsid w:val="00241140"/>
    <w:rsid w:val="00241FB5"/>
    <w:rsid w:val="002420A2"/>
    <w:rsid w:val="00245C9B"/>
    <w:rsid w:val="00246A9D"/>
    <w:rsid w:val="00250916"/>
    <w:rsid w:val="00251067"/>
    <w:rsid w:val="00251D1E"/>
    <w:rsid w:val="00252AB8"/>
    <w:rsid w:val="00253C51"/>
    <w:rsid w:val="002543D2"/>
    <w:rsid w:val="002550FB"/>
    <w:rsid w:val="00256176"/>
    <w:rsid w:val="002614B8"/>
    <w:rsid w:val="002659EC"/>
    <w:rsid w:val="0027000E"/>
    <w:rsid w:val="00270420"/>
    <w:rsid w:val="002705CF"/>
    <w:rsid w:val="00270D54"/>
    <w:rsid w:val="002718AE"/>
    <w:rsid w:val="00271987"/>
    <w:rsid w:val="00272D8D"/>
    <w:rsid w:val="00272E8F"/>
    <w:rsid w:val="00273027"/>
    <w:rsid w:val="00275761"/>
    <w:rsid w:val="0027793D"/>
    <w:rsid w:val="002779EC"/>
    <w:rsid w:val="00280191"/>
    <w:rsid w:val="00280303"/>
    <w:rsid w:val="00280ECF"/>
    <w:rsid w:val="00281AEB"/>
    <w:rsid w:val="00282735"/>
    <w:rsid w:val="002844AB"/>
    <w:rsid w:val="00284B43"/>
    <w:rsid w:val="00285613"/>
    <w:rsid w:val="002856EE"/>
    <w:rsid w:val="00290E1B"/>
    <w:rsid w:val="002914EB"/>
    <w:rsid w:val="0029188D"/>
    <w:rsid w:val="00291A69"/>
    <w:rsid w:val="0029443E"/>
    <w:rsid w:val="002948B9"/>
    <w:rsid w:val="00296997"/>
    <w:rsid w:val="002973A6"/>
    <w:rsid w:val="002A0B82"/>
    <w:rsid w:val="002A2D9F"/>
    <w:rsid w:val="002A2DBA"/>
    <w:rsid w:val="002A3159"/>
    <w:rsid w:val="002A3AE1"/>
    <w:rsid w:val="002A3AE9"/>
    <w:rsid w:val="002A3CB7"/>
    <w:rsid w:val="002A3F57"/>
    <w:rsid w:val="002A57B8"/>
    <w:rsid w:val="002A5B65"/>
    <w:rsid w:val="002A67AE"/>
    <w:rsid w:val="002A6E3D"/>
    <w:rsid w:val="002A7AA6"/>
    <w:rsid w:val="002B0273"/>
    <w:rsid w:val="002B0563"/>
    <w:rsid w:val="002B105D"/>
    <w:rsid w:val="002B182D"/>
    <w:rsid w:val="002B337B"/>
    <w:rsid w:val="002B405E"/>
    <w:rsid w:val="002B40AD"/>
    <w:rsid w:val="002B497E"/>
    <w:rsid w:val="002B539C"/>
    <w:rsid w:val="002B645D"/>
    <w:rsid w:val="002B6B90"/>
    <w:rsid w:val="002B6D6E"/>
    <w:rsid w:val="002B7286"/>
    <w:rsid w:val="002B79BE"/>
    <w:rsid w:val="002C0EFC"/>
    <w:rsid w:val="002C0F21"/>
    <w:rsid w:val="002C110E"/>
    <w:rsid w:val="002C1657"/>
    <w:rsid w:val="002C2972"/>
    <w:rsid w:val="002C2B69"/>
    <w:rsid w:val="002C3E25"/>
    <w:rsid w:val="002C5A79"/>
    <w:rsid w:val="002C607D"/>
    <w:rsid w:val="002C62E4"/>
    <w:rsid w:val="002C64AE"/>
    <w:rsid w:val="002C76DB"/>
    <w:rsid w:val="002D14E5"/>
    <w:rsid w:val="002D2366"/>
    <w:rsid w:val="002D2642"/>
    <w:rsid w:val="002D39F9"/>
    <w:rsid w:val="002D4D46"/>
    <w:rsid w:val="002D5AE0"/>
    <w:rsid w:val="002D7ADC"/>
    <w:rsid w:val="002E0CD5"/>
    <w:rsid w:val="002E33AE"/>
    <w:rsid w:val="002E400A"/>
    <w:rsid w:val="002E404F"/>
    <w:rsid w:val="002E437E"/>
    <w:rsid w:val="002E556B"/>
    <w:rsid w:val="002E629A"/>
    <w:rsid w:val="002E6DFC"/>
    <w:rsid w:val="002E780E"/>
    <w:rsid w:val="002F0766"/>
    <w:rsid w:val="002F234B"/>
    <w:rsid w:val="002F356A"/>
    <w:rsid w:val="002F43BA"/>
    <w:rsid w:val="002F4B37"/>
    <w:rsid w:val="002F6002"/>
    <w:rsid w:val="003002AB"/>
    <w:rsid w:val="00300D62"/>
    <w:rsid w:val="0030295C"/>
    <w:rsid w:val="00303051"/>
    <w:rsid w:val="00303AF7"/>
    <w:rsid w:val="003058E6"/>
    <w:rsid w:val="003078DE"/>
    <w:rsid w:val="00307DAA"/>
    <w:rsid w:val="00310445"/>
    <w:rsid w:val="00310999"/>
    <w:rsid w:val="00311E0E"/>
    <w:rsid w:val="003124EF"/>
    <w:rsid w:val="003149FC"/>
    <w:rsid w:val="00314CBB"/>
    <w:rsid w:val="003162EE"/>
    <w:rsid w:val="00316E85"/>
    <w:rsid w:val="00317142"/>
    <w:rsid w:val="00317E72"/>
    <w:rsid w:val="003200F1"/>
    <w:rsid w:val="00320978"/>
    <w:rsid w:val="00320D44"/>
    <w:rsid w:val="00320E89"/>
    <w:rsid w:val="0032282E"/>
    <w:rsid w:val="00322906"/>
    <w:rsid w:val="00323C76"/>
    <w:rsid w:val="003240B8"/>
    <w:rsid w:val="00324B76"/>
    <w:rsid w:val="00324BD8"/>
    <w:rsid w:val="00325261"/>
    <w:rsid w:val="0032558D"/>
    <w:rsid w:val="003258C8"/>
    <w:rsid w:val="0032703A"/>
    <w:rsid w:val="00333679"/>
    <w:rsid w:val="003339C7"/>
    <w:rsid w:val="00333BC5"/>
    <w:rsid w:val="00334533"/>
    <w:rsid w:val="00335055"/>
    <w:rsid w:val="00335655"/>
    <w:rsid w:val="003379CB"/>
    <w:rsid w:val="00340730"/>
    <w:rsid w:val="00341597"/>
    <w:rsid w:val="003420F3"/>
    <w:rsid w:val="00343F64"/>
    <w:rsid w:val="00344556"/>
    <w:rsid w:val="00344B9F"/>
    <w:rsid w:val="00345F6D"/>
    <w:rsid w:val="003504EF"/>
    <w:rsid w:val="0035082F"/>
    <w:rsid w:val="00351780"/>
    <w:rsid w:val="003522C6"/>
    <w:rsid w:val="003543EE"/>
    <w:rsid w:val="0035562F"/>
    <w:rsid w:val="00355F0F"/>
    <w:rsid w:val="00356270"/>
    <w:rsid w:val="003602E9"/>
    <w:rsid w:val="00361274"/>
    <w:rsid w:val="00361D60"/>
    <w:rsid w:val="003623EE"/>
    <w:rsid w:val="0036368E"/>
    <w:rsid w:val="003638AD"/>
    <w:rsid w:val="00363E7A"/>
    <w:rsid w:val="00364369"/>
    <w:rsid w:val="00364F0C"/>
    <w:rsid w:val="00366176"/>
    <w:rsid w:val="003667F6"/>
    <w:rsid w:val="00370882"/>
    <w:rsid w:val="00370AAC"/>
    <w:rsid w:val="00371C85"/>
    <w:rsid w:val="00374957"/>
    <w:rsid w:val="003759B3"/>
    <w:rsid w:val="003765F5"/>
    <w:rsid w:val="00377389"/>
    <w:rsid w:val="00380E2F"/>
    <w:rsid w:val="003816AB"/>
    <w:rsid w:val="003827FB"/>
    <w:rsid w:val="00382DFC"/>
    <w:rsid w:val="00383002"/>
    <w:rsid w:val="003830BA"/>
    <w:rsid w:val="003840FE"/>
    <w:rsid w:val="003841EA"/>
    <w:rsid w:val="00384403"/>
    <w:rsid w:val="003854CB"/>
    <w:rsid w:val="003856F0"/>
    <w:rsid w:val="00386123"/>
    <w:rsid w:val="003901BA"/>
    <w:rsid w:val="0039092E"/>
    <w:rsid w:val="00391041"/>
    <w:rsid w:val="00391A9C"/>
    <w:rsid w:val="00392BF6"/>
    <w:rsid w:val="0039376C"/>
    <w:rsid w:val="00393823"/>
    <w:rsid w:val="003A541D"/>
    <w:rsid w:val="003A5670"/>
    <w:rsid w:val="003A6968"/>
    <w:rsid w:val="003A789A"/>
    <w:rsid w:val="003B0D57"/>
    <w:rsid w:val="003B2491"/>
    <w:rsid w:val="003B50DE"/>
    <w:rsid w:val="003C2586"/>
    <w:rsid w:val="003C3201"/>
    <w:rsid w:val="003C4C56"/>
    <w:rsid w:val="003C6E13"/>
    <w:rsid w:val="003C77B8"/>
    <w:rsid w:val="003D09B0"/>
    <w:rsid w:val="003D0AD0"/>
    <w:rsid w:val="003D0F4C"/>
    <w:rsid w:val="003D1138"/>
    <w:rsid w:val="003D292E"/>
    <w:rsid w:val="003D2CB4"/>
    <w:rsid w:val="003D37C9"/>
    <w:rsid w:val="003D4115"/>
    <w:rsid w:val="003D5E5E"/>
    <w:rsid w:val="003D675A"/>
    <w:rsid w:val="003D6A21"/>
    <w:rsid w:val="003E69D1"/>
    <w:rsid w:val="003E70EF"/>
    <w:rsid w:val="003E77FE"/>
    <w:rsid w:val="003F0324"/>
    <w:rsid w:val="003F074A"/>
    <w:rsid w:val="003F09DA"/>
    <w:rsid w:val="003F30FA"/>
    <w:rsid w:val="003F34F1"/>
    <w:rsid w:val="003F3539"/>
    <w:rsid w:val="003F4243"/>
    <w:rsid w:val="003F4672"/>
    <w:rsid w:val="003F5159"/>
    <w:rsid w:val="003F759A"/>
    <w:rsid w:val="00400349"/>
    <w:rsid w:val="0040037F"/>
    <w:rsid w:val="00400AF5"/>
    <w:rsid w:val="00401784"/>
    <w:rsid w:val="004017FE"/>
    <w:rsid w:val="00402723"/>
    <w:rsid w:val="00403CA8"/>
    <w:rsid w:val="00403D57"/>
    <w:rsid w:val="00403F35"/>
    <w:rsid w:val="00404150"/>
    <w:rsid w:val="00406027"/>
    <w:rsid w:val="0040603C"/>
    <w:rsid w:val="0040704E"/>
    <w:rsid w:val="00407463"/>
    <w:rsid w:val="00407BC6"/>
    <w:rsid w:val="004102E3"/>
    <w:rsid w:val="00410EEF"/>
    <w:rsid w:val="004120A1"/>
    <w:rsid w:val="00412F94"/>
    <w:rsid w:val="004131DB"/>
    <w:rsid w:val="00413A94"/>
    <w:rsid w:val="00413FCE"/>
    <w:rsid w:val="00414856"/>
    <w:rsid w:val="00416007"/>
    <w:rsid w:val="0041642A"/>
    <w:rsid w:val="0041791D"/>
    <w:rsid w:val="00417F0F"/>
    <w:rsid w:val="00420221"/>
    <w:rsid w:val="00420A97"/>
    <w:rsid w:val="00420F1E"/>
    <w:rsid w:val="00421B5C"/>
    <w:rsid w:val="00422D8A"/>
    <w:rsid w:val="00423463"/>
    <w:rsid w:val="00425B45"/>
    <w:rsid w:val="00425EB7"/>
    <w:rsid w:val="00426CA7"/>
    <w:rsid w:val="00430DDE"/>
    <w:rsid w:val="00431194"/>
    <w:rsid w:val="0043191F"/>
    <w:rsid w:val="0043201E"/>
    <w:rsid w:val="00432051"/>
    <w:rsid w:val="0043224B"/>
    <w:rsid w:val="00432DC3"/>
    <w:rsid w:val="00436366"/>
    <w:rsid w:val="0044108A"/>
    <w:rsid w:val="00441496"/>
    <w:rsid w:val="00441645"/>
    <w:rsid w:val="004417D8"/>
    <w:rsid w:val="00442AAE"/>
    <w:rsid w:val="00442B9A"/>
    <w:rsid w:val="00443160"/>
    <w:rsid w:val="00443188"/>
    <w:rsid w:val="004472A0"/>
    <w:rsid w:val="00450297"/>
    <w:rsid w:val="004505F6"/>
    <w:rsid w:val="00450807"/>
    <w:rsid w:val="00452B30"/>
    <w:rsid w:val="00454B47"/>
    <w:rsid w:val="00454C48"/>
    <w:rsid w:val="0045510A"/>
    <w:rsid w:val="00455592"/>
    <w:rsid w:val="00455721"/>
    <w:rsid w:val="00456025"/>
    <w:rsid w:val="00457FBD"/>
    <w:rsid w:val="0046190D"/>
    <w:rsid w:val="00461971"/>
    <w:rsid w:val="00462B26"/>
    <w:rsid w:val="00463297"/>
    <w:rsid w:val="00463324"/>
    <w:rsid w:val="004649FD"/>
    <w:rsid w:val="00464BBB"/>
    <w:rsid w:val="00465610"/>
    <w:rsid w:val="00466A42"/>
    <w:rsid w:val="00473A92"/>
    <w:rsid w:val="004741AA"/>
    <w:rsid w:val="00475246"/>
    <w:rsid w:val="00476112"/>
    <w:rsid w:val="004779A9"/>
    <w:rsid w:val="0048073D"/>
    <w:rsid w:val="00481269"/>
    <w:rsid w:val="00481307"/>
    <w:rsid w:val="00481AAC"/>
    <w:rsid w:val="00481C80"/>
    <w:rsid w:val="00481CD6"/>
    <w:rsid w:val="00482276"/>
    <w:rsid w:val="004839A9"/>
    <w:rsid w:val="00483B67"/>
    <w:rsid w:val="00483C7A"/>
    <w:rsid w:val="004855DD"/>
    <w:rsid w:val="00486B2D"/>
    <w:rsid w:val="004878CE"/>
    <w:rsid w:val="00487C49"/>
    <w:rsid w:val="00490BD0"/>
    <w:rsid w:val="00490DD5"/>
    <w:rsid w:val="0049271F"/>
    <w:rsid w:val="00492AFE"/>
    <w:rsid w:val="00494021"/>
    <w:rsid w:val="00497B18"/>
    <w:rsid w:val="004A3D3D"/>
    <w:rsid w:val="004A43C1"/>
    <w:rsid w:val="004A46AA"/>
    <w:rsid w:val="004A4AD7"/>
    <w:rsid w:val="004A55E2"/>
    <w:rsid w:val="004B03CD"/>
    <w:rsid w:val="004B0BE0"/>
    <w:rsid w:val="004B0EA9"/>
    <w:rsid w:val="004B2C16"/>
    <w:rsid w:val="004B51E8"/>
    <w:rsid w:val="004B7683"/>
    <w:rsid w:val="004C009E"/>
    <w:rsid w:val="004C1023"/>
    <w:rsid w:val="004C23C0"/>
    <w:rsid w:val="004C2504"/>
    <w:rsid w:val="004C28B1"/>
    <w:rsid w:val="004C2A06"/>
    <w:rsid w:val="004C31DA"/>
    <w:rsid w:val="004C54C5"/>
    <w:rsid w:val="004C5EE4"/>
    <w:rsid w:val="004C75CC"/>
    <w:rsid w:val="004C7BF5"/>
    <w:rsid w:val="004C7F42"/>
    <w:rsid w:val="004D2447"/>
    <w:rsid w:val="004D3FC2"/>
    <w:rsid w:val="004D4DA5"/>
    <w:rsid w:val="004D7363"/>
    <w:rsid w:val="004D74F6"/>
    <w:rsid w:val="004D79DE"/>
    <w:rsid w:val="004D7DB1"/>
    <w:rsid w:val="004E13DA"/>
    <w:rsid w:val="004E163D"/>
    <w:rsid w:val="004E1749"/>
    <w:rsid w:val="004E1A1A"/>
    <w:rsid w:val="004E2037"/>
    <w:rsid w:val="004E373D"/>
    <w:rsid w:val="004E3984"/>
    <w:rsid w:val="004E3A8F"/>
    <w:rsid w:val="004E4CF2"/>
    <w:rsid w:val="004E4DDD"/>
    <w:rsid w:val="004E504B"/>
    <w:rsid w:val="004F02D6"/>
    <w:rsid w:val="004F3043"/>
    <w:rsid w:val="004F576B"/>
    <w:rsid w:val="004F59A2"/>
    <w:rsid w:val="004F6BBB"/>
    <w:rsid w:val="004F78C3"/>
    <w:rsid w:val="004F7CCA"/>
    <w:rsid w:val="00500058"/>
    <w:rsid w:val="0050113E"/>
    <w:rsid w:val="00503E2F"/>
    <w:rsid w:val="0050447D"/>
    <w:rsid w:val="00504BF7"/>
    <w:rsid w:val="0050641F"/>
    <w:rsid w:val="00510D72"/>
    <w:rsid w:val="0051106C"/>
    <w:rsid w:val="00511555"/>
    <w:rsid w:val="00511815"/>
    <w:rsid w:val="00511E18"/>
    <w:rsid w:val="00512881"/>
    <w:rsid w:val="005138E2"/>
    <w:rsid w:val="00513DD3"/>
    <w:rsid w:val="0051418F"/>
    <w:rsid w:val="00515A15"/>
    <w:rsid w:val="005200EA"/>
    <w:rsid w:val="00520D5F"/>
    <w:rsid w:val="0052184B"/>
    <w:rsid w:val="00522775"/>
    <w:rsid w:val="00523F64"/>
    <w:rsid w:val="00525AD4"/>
    <w:rsid w:val="005263DD"/>
    <w:rsid w:val="0052728E"/>
    <w:rsid w:val="00527E24"/>
    <w:rsid w:val="00527FFA"/>
    <w:rsid w:val="005311B0"/>
    <w:rsid w:val="00532206"/>
    <w:rsid w:val="0053272D"/>
    <w:rsid w:val="00532CA3"/>
    <w:rsid w:val="005336F1"/>
    <w:rsid w:val="00534C41"/>
    <w:rsid w:val="00535562"/>
    <w:rsid w:val="005366E8"/>
    <w:rsid w:val="00537B0D"/>
    <w:rsid w:val="00540831"/>
    <w:rsid w:val="00540AAF"/>
    <w:rsid w:val="0054272C"/>
    <w:rsid w:val="00542B99"/>
    <w:rsid w:val="00544521"/>
    <w:rsid w:val="00546098"/>
    <w:rsid w:val="00546298"/>
    <w:rsid w:val="005462F2"/>
    <w:rsid w:val="00546450"/>
    <w:rsid w:val="00546A30"/>
    <w:rsid w:val="005507A3"/>
    <w:rsid w:val="00550EC3"/>
    <w:rsid w:val="00551485"/>
    <w:rsid w:val="00551C75"/>
    <w:rsid w:val="00552E37"/>
    <w:rsid w:val="00553590"/>
    <w:rsid w:val="0055502E"/>
    <w:rsid w:val="00555944"/>
    <w:rsid w:val="00562BD0"/>
    <w:rsid w:val="00564BE0"/>
    <w:rsid w:val="005651DB"/>
    <w:rsid w:val="00566014"/>
    <w:rsid w:val="00566A8A"/>
    <w:rsid w:val="00567E77"/>
    <w:rsid w:val="0057264C"/>
    <w:rsid w:val="00572F04"/>
    <w:rsid w:val="00574AD7"/>
    <w:rsid w:val="00575487"/>
    <w:rsid w:val="005754C1"/>
    <w:rsid w:val="00575A5F"/>
    <w:rsid w:val="005760F9"/>
    <w:rsid w:val="00576690"/>
    <w:rsid w:val="00580EB9"/>
    <w:rsid w:val="00583E36"/>
    <w:rsid w:val="00584EB0"/>
    <w:rsid w:val="00584EB5"/>
    <w:rsid w:val="00586D23"/>
    <w:rsid w:val="005870C4"/>
    <w:rsid w:val="00587413"/>
    <w:rsid w:val="0059052A"/>
    <w:rsid w:val="005908C8"/>
    <w:rsid w:val="005911BE"/>
    <w:rsid w:val="005927D7"/>
    <w:rsid w:val="005943D2"/>
    <w:rsid w:val="005964C7"/>
    <w:rsid w:val="005A00B2"/>
    <w:rsid w:val="005A0148"/>
    <w:rsid w:val="005A017B"/>
    <w:rsid w:val="005A0185"/>
    <w:rsid w:val="005A0A4F"/>
    <w:rsid w:val="005A27FB"/>
    <w:rsid w:val="005A3413"/>
    <w:rsid w:val="005A393B"/>
    <w:rsid w:val="005A4F5D"/>
    <w:rsid w:val="005A55DE"/>
    <w:rsid w:val="005A5600"/>
    <w:rsid w:val="005A56F8"/>
    <w:rsid w:val="005A67F9"/>
    <w:rsid w:val="005A6D37"/>
    <w:rsid w:val="005A7CDC"/>
    <w:rsid w:val="005B04D7"/>
    <w:rsid w:val="005B11D5"/>
    <w:rsid w:val="005B2104"/>
    <w:rsid w:val="005B2DC6"/>
    <w:rsid w:val="005B44B1"/>
    <w:rsid w:val="005B47E1"/>
    <w:rsid w:val="005B66A4"/>
    <w:rsid w:val="005B6D85"/>
    <w:rsid w:val="005C2B57"/>
    <w:rsid w:val="005C2E5A"/>
    <w:rsid w:val="005C3932"/>
    <w:rsid w:val="005C484C"/>
    <w:rsid w:val="005C57E6"/>
    <w:rsid w:val="005C646B"/>
    <w:rsid w:val="005C7A10"/>
    <w:rsid w:val="005C7BB9"/>
    <w:rsid w:val="005D140F"/>
    <w:rsid w:val="005D148C"/>
    <w:rsid w:val="005D1B3C"/>
    <w:rsid w:val="005D2AEF"/>
    <w:rsid w:val="005D2BCA"/>
    <w:rsid w:val="005D2C60"/>
    <w:rsid w:val="005D3091"/>
    <w:rsid w:val="005D45DA"/>
    <w:rsid w:val="005D627F"/>
    <w:rsid w:val="005D6895"/>
    <w:rsid w:val="005E0170"/>
    <w:rsid w:val="005E0FA8"/>
    <w:rsid w:val="005E100E"/>
    <w:rsid w:val="005E1169"/>
    <w:rsid w:val="005E2185"/>
    <w:rsid w:val="005E21DF"/>
    <w:rsid w:val="005E2481"/>
    <w:rsid w:val="005E368D"/>
    <w:rsid w:val="005E4762"/>
    <w:rsid w:val="005E4B1E"/>
    <w:rsid w:val="005E523D"/>
    <w:rsid w:val="005E5382"/>
    <w:rsid w:val="005E67F9"/>
    <w:rsid w:val="005E7C33"/>
    <w:rsid w:val="005F038C"/>
    <w:rsid w:val="005F07B9"/>
    <w:rsid w:val="005F15F3"/>
    <w:rsid w:val="005F1956"/>
    <w:rsid w:val="005F3439"/>
    <w:rsid w:val="005F46BE"/>
    <w:rsid w:val="005F4765"/>
    <w:rsid w:val="005F744E"/>
    <w:rsid w:val="0060089A"/>
    <w:rsid w:val="00601642"/>
    <w:rsid w:val="00602EBC"/>
    <w:rsid w:val="006048A2"/>
    <w:rsid w:val="0060499D"/>
    <w:rsid w:val="00604D25"/>
    <w:rsid w:val="006052E2"/>
    <w:rsid w:val="00605480"/>
    <w:rsid w:val="006055AF"/>
    <w:rsid w:val="006070AB"/>
    <w:rsid w:val="00610A72"/>
    <w:rsid w:val="006129DF"/>
    <w:rsid w:val="00612AAE"/>
    <w:rsid w:val="006133AE"/>
    <w:rsid w:val="006143C5"/>
    <w:rsid w:val="00614C42"/>
    <w:rsid w:val="00615439"/>
    <w:rsid w:val="00616BA4"/>
    <w:rsid w:val="00617038"/>
    <w:rsid w:val="00617EEB"/>
    <w:rsid w:val="006223A4"/>
    <w:rsid w:val="006223F3"/>
    <w:rsid w:val="006229B1"/>
    <w:rsid w:val="00622B62"/>
    <w:rsid w:val="0062378C"/>
    <w:rsid w:val="00623943"/>
    <w:rsid w:val="00623FD7"/>
    <w:rsid w:val="00624D71"/>
    <w:rsid w:val="0062590B"/>
    <w:rsid w:val="00625EEB"/>
    <w:rsid w:val="0062600C"/>
    <w:rsid w:val="006274BD"/>
    <w:rsid w:val="00631759"/>
    <w:rsid w:val="006324F0"/>
    <w:rsid w:val="00632CA0"/>
    <w:rsid w:val="0063417B"/>
    <w:rsid w:val="0063541C"/>
    <w:rsid w:val="00635697"/>
    <w:rsid w:val="006368AC"/>
    <w:rsid w:val="00636BDA"/>
    <w:rsid w:val="0063780D"/>
    <w:rsid w:val="00641426"/>
    <w:rsid w:val="00643299"/>
    <w:rsid w:val="006457FE"/>
    <w:rsid w:val="0064580B"/>
    <w:rsid w:val="00645AAB"/>
    <w:rsid w:val="00645C31"/>
    <w:rsid w:val="00646661"/>
    <w:rsid w:val="00647602"/>
    <w:rsid w:val="00650BAB"/>
    <w:rsid w:val="00651E75"/>
    <w:rsid w:val="00653B64"/>
    <w:rsid w:val="00654891"/>
    <w:rsid w:val="0065529A"/>
    <w:rsid w:val="006553D6"/>
    <w:rsid w:val="00655915"/>
    <w:rsid w:val="006563FC"/>
    <w:rsid w:val="006564DE"/>
    <w:rsid w:val="0065679D"/>
    <w:rsid w:val="00656F7D"/>
    <w:rsid w:val="00657E07"/>
    <w:rsid w:val="00657FA3"/>
    <w:rsid w:val="00660874"/>
    <w:rsid w:val="00661E15"/>
    <w:rsid w:val="006704A6"/>
    <w:rsid w:val="006709DB"/>
    <w:rsid w:val="00672467"/>
    <w:rsid w:val="00674DE5"/>
    <w:rsid w:val="006772C8"/>
    <w:rsid w:val="006776B8"/>
    <w:rsid w:val="00682811"/>
    <w:rsid w:val="00682CB2"/>
    <w:rsid w:val="006846B8"/>
    <w:rsid w:val="00684C27"/>
    <w:rsid w:val="006872C4"/>
    <w:rsid w:val="006878BE"/>
    <w:rsid w:val="00687D11"/>
    <w:rsid w:val="00687F76"/>
    <w:rsid w:val="006901F2"/>
    <w:rsid w:val="00690E44"/>
    <w:rsid w:val="00696AB1"/>
    <w:rsid w:val="00697C70"/>
    <w:rsid w:val="006A005C"/>
    <w:rsid w:val="006A08A6"/>
    <w:rsid w:val="006A0B17"/>
    <w:rsid w:val="006A3396"/>
    <w:rsid w:val="006A399F"/>
    <w:rsid w:val="006A5208"/>
    <w:rsid w:val="006A7B54"/>
    <w:rsid w:val="006B100D"/>
    <w:rsid w:val="006B3A1A"/>
    <w:rsid w:val="006B4E82"/>
    <w:rsid w:val="006B4F25"/>
    <w:rsid w:val="006B575F"/>
    <w:rsid w:val="006C0022"/>
    <w:rsid w:val="006C0CC8"/>
    <w:rsid w:val="006C14A0"/>
    <w:rsid w:val="006C25CA"/>
    <w:rsid w:val="006C35A1"/>
    <w:rsid w:val="006C4694"/>
    <w:rsid w:val="006C61DB"/>
    <w:rsid w:val="006C650C"/>
    <w:rsid w:val="006C6B4D"/>
    <w:rsid w:val="006C6C3E"/>
    <w:rsid w:val="006D01F3"/>
    <w:rsid w:val="006D1988"/>
    <w:rsid w:val="006D1F29"/>
    <w:rsid w:val="006D328B"/>
    <w:rsid w:val="006D4FED"/>
    <w:rsid w:val="006D5454"/>
    <w:rsid w:val="006D5D4A"/>
    <w:rsid w:val="006D740E"/>
    <w:rsid w:val="006E1375"/>
    <w:rsid w:val="006E1622"/>
    <w:rsid w:val="006E16A3"/>
    <w:rsid w:val="006E1A04"/>
    <w:rsid w:val="006E2272"/>
    <w:rsid w:val="006E2556"/>
    <w:rsid w:val="006E2928"/>
    <w:rsid w:val="006E3C9A"/>
    <w:rsid w:val="006E3D6C"/>
    <w:rsid w:val="006E40AF"/>
    <w:rsid w:val="006E4197"/>
    <w:rsid w:val="006E5345"/>
    <w:rsid w:val="006E569B"/>
    <w:rsid w:val="006E59E6"/>
    <w:rsid w:val="006E5F0D"/>
    <w:rsid w:val="006E6221"/>
    <w:rsid w:val="006E6C3D"/>
    <w:rsid w:val="006F02DE"/>
    <w:rsid w:val="006F1FCC"/>
    <w:rsid w:val="006F2D20"/>
    <w:rsid w:val="006F3E11"/>
    <w:rsid w:val="006F4237"/>
    <w:rsid w:val="006F550E"/>
    <w:rsid w:val="0070001E"/>
    <w:rsid w:val="00700961"/>
    <w:rsid w:val="00700F1F"/>
    <w:rsid w:val="00702315"/>
    <w:rsid w:val="00702A5D"/>
    <w:rsid w:val="007035FE"/>
    <w:rsid w:val="007067C0"/>
    <w:rsid w:val="00707881"/>
    <w:rsid w:val="0071023B"/>
    <w:rsid w:val="007108EB"/>
    <w:rsid w:val="007109EF"/>
    <w:rsid w:val="007113A9"/>
    <w:rsid w:val="0071167F"/>
    <w:rsid w:val="00712E0E"/>
    <w:rsid w:val="00713C74"/>
    <w:rsid w:val="007158E0"/>
    <w:rsid w:val="00716881"/>
    <w:rsid w:val="00716C92"/>
    <w:rsid w:val="0071707E"/>
    <w:rsid w:val="00720056"/>
    <w:rsid w:val="00720DE2"/>
    <w:rsid w:val="007235EA"/>
    <w:rsid w:val="0072379B"/>
    <w:rsid w:val="007245CA"/>
    <w:rsid w:val="00724D44"/>
    <w:rsid w:val="0072514C"/>
    <w:rsid w:val="00725B5D"/>
    <w:rsid w:val="007261E0"/>
    <w:rsid w:val="00727E12"/>
    <w:rsid w:val="00727F7C"/>
    <w:rsid w:val="00730212"/>
    <w:rsid w:val="00730376"/>
    <w:rsid w:val="00730F5F"/>
    <w:rsid w:val="00731D5B"/>
    <w:rsid w:val="007337BA"/>
    <w:rsid w:val="00733865"/>
    <w:rsid w:val="0073573A"/>
    <w:rsid w:val="00735E3B"/>
    <w:rsid w:val="00736CAC"/>
    <w:rsid w:val="00737DAC"/>
    <w:rsid w:val="00742A61"/>
    <w:rsid w:val="007431B8"/>
    <w:rsid w:val="00747174"/>
    <w:rsid w:val="00747738"/>
    <w:rsid w:val="0074795C"/>
    <w:rsid w:val="00750A70"/>
    <w:rsid w:val="007513A6"/>
    <w:rsid w:val="007527D8"/>
    <w:rsid w:val="00752CC4"/>
    <w:rsid w:val="00752EAE"/>
    <w:rsid w:val="00752FB8"/>
    <w:rsid w:val="0075323A"/>
    <w:rsid w:val="0075357A"/>
    <w:rsid w:val="0075357D"/>
    <w:rsid w:val="00753919"/>
    <w:rsid w:val="00755C83"/>
    <w:rsid w:val="0075612F"/>
    <w:rsid w:val="007562D4"/>
    <w:rsid w:val="007566E9"/>
    <w:rsid w:val="00757DDB"/>
    <w:rsid w:val="00760F5E"/>
    <w:rsid w:val="00761622"/>
    <w:rsid w:val="00762FC2"/>
    <w:rsid w:val="00763910"/>
    <w:rsid w:val="007646BD"/>
    <w:rsid w:val="007647A2"/>
    <w:rsid w:val="0076480E"/>
    <w:rsid w:val="00764DC4"/>
    <w:rsid w:val="007654C8"/>
    <w:rsid w:val="00765AD2"/>
    <w:rsid w:val="00766200"/>
    <w:rsid w:val="007668B2"/>
    <w:rsid w:val="00767E33"/>
    <w:rsid w:val="007703F4"/>
    <w:rsid w:val="007725A7"/>
    <w:rsid w:val="007747FA"/>
    <w:rsid w:val="0077617E"/>
    <w:rsid w:val="00776914"/>
    <w:rsid w:val="007827A6"/>
    <w:rsid w:val="0078363E"/>
    <w:rsid w:val="00786A2F"/>
    <w:rsid w:val="00790183"/>
    <w:rsid w:val="0079204B"/>
    <w:rsid w:val="0079229E"/>
    <w:rsid w:val="00792E48"/>
    <w:rsid w:val="00794AF8"/>
    <w:rsid w:val="00795F4B"/>
    <w:rsid w:val="0079693D"/>
    <w:rsid w:val="00796967"/>
    <w:rsid w:val="007A0814"/>
    <w:rsid w:val="007A0D95"/>
    <w:rsid w:val="007A4211"/>
    <w:rsid w:val="007A4C9F"/>
    <w:rsid w:val="007A52D7"/>
    <w:rsid w:val="007A532B"/>
    <w:rsid w:val="007A536D"/>
    <w:rsid w:val="007A6039"/>
    <w:rsid w:val="007A7304"/>
    <w:rsid w:val="007A7898"/>
    <w:rsid w:val="007B000D"/>
    <w:rsid w:val="007B02EE"/>
    <w:rsid w:val="007B0DC3"/>
    <w:rsid w:val="007B0DCA"/>
    <w:rsid w:val="007B191E"/>
    <w:rsid w:val="007B3792"/>
    <w:rsid w:val="007B40CE"/>
    <w:rsid w:val="007B4677"/>
    <w:rsid w:val="007C11D4"/>
    <w:rsid w:val="007C1530"/>
    <w:rsid w:val="007C2619"/>
    <w:rsid w:val="007C37BE"/>
    <w:rsid w:val="007C4B7B"/>
    <w:rsid w:val="007C6B6F"/>
    <w:rsid w:val="007C71F2"/>
    <w:rsid w:val="007C7848"/>
    <w:rsid w:val="007C7EF1"/>
    <w:rsid w:val="007D0BC8"/>
    <w:rsid w:val="007D1043"/>
    <w:rsid w:val="007D19CF"/>
    <w:rsid w:val="007D2FA7"/>
    <w:rsid w:val="007D4FA6"/>
    <w:rsid w:val="007D5EA9"/>
    <w:rsid w:val="007D6DE6"/>
    <w:rsid w:val="007D7545"/>
    <w:rsid w:val="007E0C46"/>
    <w:rsid w:val="007E0EB6"/>
    <w:rsid w:val="007E12F9"/>
    <w:rsid w:val="007E3987"/>
    <w:rsid w:val="007E58EC"/>
    <w:rsid w:val="007E60CF"/>
    <w:rsid w:val="007E61F0"/>
    <w:rsid w:val="007E64D4"/>
    <w:rsid w:val="007E67D6"/>
    <w:rsid w:val="007E6A53"/>
    <w:rsid w:val="007F220F"/>
    <w:rsid w:val="007F2CE1"/>
    <w:rsid w:val="007F4200"/>
    <w:rsid w:val="007F4231"/>
    <w:rsid w:val="007F5515"/>
    <w:rsid w:val="007F7077"/>
    <w:rsid w:val="007F7451"/>
    <w:rsid w:val="007F79BB"/>
    <w:rsid w:val="008004A4"/>
    <w:rsid w:val="008008F8"/>
    <w:rsid w:val="00801D03"/>
    <w:rsid w:val="008023AD"/>
    <w:rsid w:val="008034D1"/>
    <w:rsid w:val="0080393D"/>
    <w:rsid w:val="00805208"/>
    <w:rsid w:val="0080548B"/>
    <w:rsid w:val="00806314"/>
    <w:rsid w:val="00806D77"/>
    <w:rsid w:val="00811B76"/>
    <w:rsid w:val="00812120"/>
    <w:rsid w:val="00812461"/>
    <w:rsid w:val="008125B8"/>
    <w:rsid w:val="0081300A"/>
    <w:rsid w:val="00813222"/>
    <w:rsid w:val="00813A8E"/>
    <w:rsid w:val="008154EE"/>
    <w:rsid w:val="00815F1F"/>
    <w:rsid w:val="00817D3B"/>
    <w:rsid w:val="00821633"/>
    <w:rsid w:val="008242C6"/>
    <w:rsid w:val="00825A92"/>
    <w:rsid w:val="00827017"/>
    <w:rsid w:val="00830B0D"/>
    <w:rsid w:val="00830EC2"/>
    <w:rsid w:val="00831ECD"/>
    <w:rsid w:val="00833C30"/>
    <w:rsid w:val="00834BAE"/>
    <w:rsid w:val="008356AD"/>
    <w:rsid w:val="00836233"/>
    <w:rsid w:val="00836AA8"/>
    <w:rsid w:val="00837051"/>
    <w:rsid w:val="00837328"/>
    <w:rsid w:val="00840D38"/>
    <w:rsid w:val="00840D41"/>
    <w:rsid w:val="00841E74"/>
    <w:rsid w:val="008425FB"/>
    <w:rsid w:val="00842D4F"/>
    <w:rsid w:val="00842F6C"/>
    <w:rsid w:val="0084362A"/>
    <w:rsid w:val="00844625"/>
    <w:rsid w:val="008449DA"/>
    <w:rsid w:val="00845B74"/>
    <w:rsid w:val="00845DCA"/>
    <w:rsid w:val="00847214"/>
    <w:rsid w:val="008474BB"/>
    <w:rsid w:val="00851333"/>
    <w:rsid w:val="008519E0"/>
    <w:rsid w:val="00851E7D"/>
    <w:rsid w:val="00852A31"/>
    <w:rsid w:val="008554CC"/>
    <w:rsid w:val="00856501"/>
    <w:rsid w:val="008569F8"/>
    <w:rsid w:val="00857DFF"/>
    <w:rsid w:val="00860FB3"/>
    <w:rsid w:val="00861AD3"/>
    <w:rsid w:val="0086248B"/>
    <w:rsid w:val="00862858"/>
    <w:rsid w:val="008630DC"/>
    <w:rsid w:val="00863354"/>
    <w:rsid w:val="0086383F"/>
    <w:rsid w:val="008642F9"/>
    <w:rsid w:val="00864570"/>
    <w:rsid w:val="00865AE6"/>
    <w:rsid w:val="00865D0B"/>
    <w:rsid w:val="00866B54"/>
    <w:rsid w:val="00866DA0"/>
    <w:rsid w:val="0086715C"/>
    <w:rsid w:val="00867691"/>
    <w:rsid w:val="008676A9"/>
    <w:rsid w:val="0086793B"/>
    <w:rsid w:val="00867FD2"/>
    <w:rsid w:val="00871F00"/>
    <w:rsid w:val="00871F70"/>
    <w:rsid w:val="008722D7"/>
    <w:rsid w:val="008739C9"/>
    <w:rsid w:val="00873D5F"/>
    <w:rsid w:val="0087447F"/>
    <w:rsid w:val="00874E13"/>
    <w:rsid w:val="008751CF"/>
    <w:rsid w:val="00877CC0"/>
    <w:rsid w:val="00881AD3"/>
    <w:rsid w:val="008825A7"/>
    <w:rsid w:val="00883683"/>
    <w:rsid w:val="00883D4D"/>
    <w:rsid w:val="00883E89"/>
    <w:rsid w:val="00886239"/>
    <w:rsid w:val="00886AB4"/>
    <w:rsid w:val="00890289"/>
    <w:rsid w:val="008908E5"/>
    <w:rsid w:val="008914DF"/>
    <w:rsid w:val="0089215F"/>
    <w:rsid w:val="00892A5F"/>
    <w:rsid w:val="00892FF6"/>
    <w:rsid w:val="00893D35"/>
    <w:rsid w:val="00894C65"/>
    <w:rsid w:val="00895075"/>
    <w:rsid w:val="00895F4F"/>
    <w:rsid w:val="00896376"/>
    <w:rsid w:val="00896573"/>
    <w:rsid w:val="00897432"/>
    <w:rsid w:val="008A0214"/>
    <w:rsid w:val="008A08B7"/>
    <w:rsid w:val="008A2232"/>
    <w:rsid w:val="008A2692"/>
    <w:rsid w:val="008A2D53"/>
    <w:rsid w:val="008A4144"/>
    <w:rsid w:val="008A5CF9"/>
    <w:rsid w:val="008A5D95"/>
    <w:rsid w:val="008A6990"/>
    <w:rsid w:val="008B024C"/>
    <w:rsid w:val="008B09A7"/>
    <w:rsid w:val="008B0B3F"/>
    <w:rsid w:val="008B1D94"/>
    <w:rsid w:val="008B4E9B"/>
    <w:rsid w:val="008B61DD"/>
    <w:rsid w:val="008B7066"/>
    <w:rsid w:val="008B71E1"/>
    <w:rsid w:val="008B7EDE"/>
    <w:rsid w:val="008C10F3"/>
    <w:rsid w:val="008C31EC"/>
    <w:rsid w:val="008C4D40"/>
    <w:rsid w:val="008C5FC6"/>
    <w:rsid w:val="008C662B"/>
    <w:rsid w:val="008C76E0"/>
    <w:rsid w:val="008D27B2"/>
    <w:rsid w:val="008D68D4"/>
    <w:rsid w:val="008E0C23"/>
    <w:rsid w:val="008E3AEF"/>
    <w:rsid w:val="008E3D5A"/>
    <w:rsid w:val="008E4CAE"/>
    <w:rsid w:val="008E6FB5"/>
    <w:rsid w:val="008F10F1"/>
    <w:rsid w:val="008F20B9"/>
    <w:rsid w:val="008F245C"/>
    <w:rsid w:val="008F2A5C"/>
    <w:rsid w:val="008F35C8"/>
    <w:rsid w:val="008F35DF"/>
    <w:rsid w:val="008F42E7"/>
    <w:rsid w:val="008F437E"/>
    <w:rsid w:val="008F55AC"/>
    <w:rsid w:val="008F5FB7"/>
    <w:rsid w:val="008F6172"/>
    <w:rsid w:val="008F6A7A"/>
    <w:rsid w:val="008F73FD"/>
    <w:rsid w:val="00905A01"/>
    <w:rsid w:val="00905FFA"/>
    <w:rsid w:val="0090600B"/>
    <w:rsid w:val="009065C2"/>
    <w:rsid w:val="009116A3"/>
    <w:rsid w:val="00911B15"/>
    <w:rsid w:val="00915422"/>
    <w:rsid w:val="0091725E"/>
    <w:rsid w:val="009204C7"/>
    <w:rsid w:val="00920F07"/>
    <w:rsid w:val="00922580"/>
    <w:rsid w:val="009227EE"/>
    <w:rsid w:val="00924BDB"/>
    <w:rsid w:val="0092534B"/>
    <w:rsid w:val="00926452"/>
    <w:rsid w:val="009278AB"/>
    <w:rsid w:val="00930238"/>
    <w:rsid w:val="00931BBE"/>
    <w:rsid w:val="009321B7"/>
    <w:rsid w:val="009335DC"/>
    <w:rsid w:val="00934242"/>
    <w:rsid w:val="00934FA3"/>
    <w:rsid w:val="00935E09"/>
    <w:rsid w:val="009363C6"/>
    <w:rsid w:val="00937235"/>
    <w:rsid w:val="00940C68"/>
    <w:rsid w:val="00941053"/>
    <w:rsid w:val="00941612"/>
    <w:rsid w:val="00941F24"/>
    <w:rsid w:val="00944D9D"/>
    <w:rsid w:val="00945471"/>
    <w:rsid w:val="00945B62"/>
    <w:rsid w:val="00946A02"/>
    <w:rsid w:val="009472CC"/>
    <w:rsid w:val="00950BAC"/>
    <w:rsid w:val="0095160E"/>
    <w:rsid w:val="009518B4"/>
    <w:rsid w:val="00951C9E"/>
    <w:rsid w:val="00951FA0"/>
    <w:rsid w:val="009521A8"/>
    <w:rsid w:val="009528ED"/>
    <w:rsid w:val="009529F1"/>
    <w:rsid w:val="00952B9C"/>
    <w:rsid w:val="009542DE"/>
    <w:rsid w:val="00954A13"/>
    <w:rsid w:val="0095540E"/>
    <w:rsid w:val="00956386"/>
    <w:rsid w:val="00956553"/>
    <w:rsid w:val="009565C8"/>
    <w:rsid w:val="00956E2F"/>
    <w:rsid w:val="0096001A"/>
    <w:rsid w:val="009611F2"/>
    <w:rsid w:val="009612FF"/>
    <w:rsid w:val="00961782"/>
    <w:rsid w:val="0096193C"/>
    <w:rsid w:val="00961EF2"/>
    <w:rsid w:val="0096300C"/>
    <w:rsid w:val="0096382D"/>
    <w:rsid w:val="00964A17"/>
    <w:rsid w:val="00967231"/>
    <w:rsid w:val="009712BD"/>
    <w:rsid w:val="00973B13"/>
    <w:rsid w:val="00974083"/>
    <w:rsid w:val="00974429"/>
    <w:rsid w:val="00975DCF"/>
    <w:rsid w:val="0098156B"/>
    <w:rsid w:val="00981612"/>
    <w:rsid w:val="00981FC3"/>
    <w:rsid w:val="009828CC"/>
    <w:rsid w:val="00982C5A"/>
    <w:rsid w:val="0098322A"/>
    <w:rsid w:val="00984354"/>
    <w:rsid w:val="00987199"/>
    <w:rsid w:val="0098747F"/>
    <w:rsid w:val="00987C15"/>
    <w:rsid w:val="009900E3"/>
    <w:rsid w:val="0099024C"/>
    <w:rsid w:val="00991FD8"/>
    <w:rsid w:val="0099201C"/>
    <w:rsid w:val="009934B7"/>
    <w:rsid w:val="00993725"/>
    <w:rsid w:val="00993D3C"/>
    <w:rsid w:val="00993DC0"/>
    <w:rsid w:val="00995878"/>
    <w:rsid w:val="0099710B"/>
    <w:rsid w:val="00997D3F"/>
    <w:rsid w:val="00997E85"/>
    <w:rsid w:val="009A1C87"/>
    <w:rsid w:val="009A270C"/>
    <w:rsid w:val="009A301E"/>
    <w:rsid w:val="009A3DB1"/>
    <w:rsid w:val="009A44CB"/>
    <w:rsid w:val="009A571C"/>
    <w:rsid w:val="009A5C75"/>
    <w:rsid w:val="009B157B"/>
    <w:rsid w:val="009B294A"/>
    <w:rsid w:val="009B3727"/>
    <w:rsid w:val="009B3CAD"/>
    <w:rsid w:val="009B3E08"/>
    <w:rsid w:val="009C0425"/>
    <w:rsid w:val="009C0AD5"/>
    <w:rsid w:val="009C0F0A"/>
    <w:rsid w:val="009C1986"/>
    <w:rsid w:val="009C2015"/>
    <w:rsid w:val="009C2485"/>
    <w:rsid w:val="009C2C59"/>
    <w:rsid w:val="009C2F20"/>
    <w:rsid w:val="009C5C24"/>
    <w:rsid w:val="009C69E2"/>
    <w:rsid w:val="009C7F70"/>
    <w:rsid w:val="009D010D"/>
    <w:rsid w:val="009D2333"/>
    <w:rsid w:val="009D36A4"/>
    <w:rsid w:val="009D38EF"/>
    <w:rsid w:val="009D4C46"/>
    <w:rsid w:val="009D4E77"/>
    <w:rsid w:val="009D541E"/>
    <w:rsid w:val="009D5C99"/>
    <w:rsid w:val="009D5DDA"/>
    <w:rsid w:val="009D6B4F"/>
    <w:rsid w:val="009D7EC4"/>
    <w:rsid w:val="009E0545"/>
    <w:rsid w:val="009E0B0A"/>
    <w:rsid w:val="009E0D26"/>
    <w:rsid w:val="009E0F4A"/>
    <w:rsid w:val="009E1D17"/>
    <w:rsid w:val="009E21B2"/>
    <w:rsid w:val="009E3B35"/>
    <w:rsid w:val="009E40D2"/>
    <w:rsid w:val="009E4833"/>
    <w:rsid w:val="009E49FF"/>
    <w:rsid w:val="009E63B7"/>
    <w:rsid w:val="009E7F74"/>
    <w:rsid w:val="009F03D5"/>
    <w:rsid w:val="009F15C6"/>
    <w:rsid w:val="009F3997"/>
    <w:rsid w:val="009F466F"/>
    <w:rsid w:val="009F4BB2"/>
    <w:rsid w:val="009F640E"/>
    <w:rsid w:val="009F6B51"/>
    <w:rsid w:val="009F74BC"/>
    <w:rsid w:val="009F7549"/>
    <w:rsid w:val="009F77AE"/>
    <w:rsid w:val="00A001D1"/>
    <w:rsid w:val="00A015DB"/>
    <w:rsid w:val="00A01829"/>
    <w:rsid w:val="00A01D93"/>
    <w:rsid w:val="00A05F3F"/>
    <w:rsid w:val="00A07759"/>
    <w:rsid w:val="00A10420"/>
    <w:rsid w:val="00A10A3E"/>
    <w:rsid w:val="00A121D5"/>
    <w:rsid w:val="00A122F1"/>
    <w:rsid w:val="00A128CC"/>
    <w:rsid w:val="00A134B0"/>
    <w:rsid w:val="00A13F40"/>
    <w:rsid w:val="00A14552"/>
    <w:rsid w:val="00A1498F"/>
    <w:rsid w:val="00A1548B"/>
    <w:rsid w:val="00A16020"/>
    <w:rsid w:val="00A160D3"/>
    <w:rsid w:val="00A16570"/>
    <w:rsid w:val="00A16F34"/>
    <w:rsid w:val="00A177B3"/>
    <w:rsid w:val="00A17F93"/>
    <w:rsid w:val="00A20433"/>
    <w:rsid w:val="00A20DB3"/>
    <w:rsid w:val="00A21376"/>
    <w:rsid w:val="00A21416"/>
    <w:rsid w:val="00A21527"/>
    <w:rsid w:val="00A22E74"/>
    <w:rsid w:val="00A22F88"/>
    <w:rsid w:val="00A23491"/>
    <w:rsid w:val="00A2447E"/>
    <w:rsid w:val="00A249D7"/>
    <w:rsid w:val="00A24B7F"/>
    <w:rsid w:val="00A25A07"/>
    <w:rsid w:val="00A26C6E"/>
    <w:rsid w:val="00A26F44"/>
    <w:rsid w:val="00A304AB"/>
    <w:rsid w:val="00A3064B"/>
    <w:rsid w:val="00A31948"/>
    <w:rsid w:val="00A320E0"/>
    <w:rsid w:val="00A32638"/>
    <w:rsid w:val="00A34A2E"/>
    <w:rsid w:val="00A34EBF"/>
    <w:rsid w:val="00A3718A"/>
    <w:rsid w:val="00A3724E"/>
    <w:rsid w:val="00A37F7B"/>
    <w:rsid w:val="00A40F89"/>
    <w:rsid w:val="00A41F91"/>
    <w:rsid w:val="00A43CC5"/>
    <w:rsid w:val="00A460A9"/>
    <w:rsid w:val="00A47DC0"/>
    <w:rsid w:val="00A47E1D"/>
    <w:rsid w:val="00A50AFF"/>
    <w:rsid w:val="00A52C47"/>
    <w:rsid w:val="00A53B49"/>
    <w:rsid w:val="00A53F70"/>
    <w:rsid w:val="00A54778"/>
    <w:rsid w:val="00A55F4D"/>
    <w:rsid w:val="00A5690A"/>
    <w:rsid w:val="00A57D07"/>
    <w:rsid w:val="00A60AA8"/>
    <w:rsid w:val="00A6126B"/>
    <w:rsid w:val="00A6190A"/>
    <w:rsid w:val="00A6262E"/>
    <w:rsid w:val="00A63C15"/>
    <w:rsid w:val="00A64298"/>
    <w:rsid w:val="00A65CB2"/>
    <w:rsid w:val="00A66186"/>
    <w:rsid w:val="00A665E7"/>
    <w:rsid w:val="00A66867"/>
    <w:rsid w:val="00A70B87"/>
    <w:rsid w:val="00A71485"/>
    <w:rsid w:val="00A7210C"/>
    <w:rsid w:val="00A7226E"/>
    <w:rsid w:val="00A7653C"/>
    <w:rsid w:val="00A768E4"/>
    <w:rsid w:val="00A8049B"/>
    <w:rsid w:val="00A8394B"/>
    <w:rsid w:val="00A851BA"/>
    <w:rsid w:val="00A85B8A"/>
    <w:rsid w:val="00A86968"/>
    <w:rsid w:val="00A901FD"/>
    <w:rsid w:val="00A943DB"/>
    <w:rsid w:val="00A94A77"/>
    <w:rsid w:val="00A969AA"/>
    <w:rsid w:val="00A96AD8"/>
    <w:rsid w:val="00A96DE4"/>
    <w:rsid w:val="00AA0CF3"/>
    <w:rsid w:val="00AA162F"/>
    <w:rsid w:val="00AA1BBA"/>
    <w:rsid w:val="00AA4424"/>
    <w:rsid w:val="00AA519D"/>
    <w:rsid w:val="00AA68BC"/>
    <w:rsid w:val="00AA75CB"/>
    <w:rsid w:val="00AB1B08"/>
    <w:rsid w:val="00AB200F"/>
    <w:rsid w:val="00AB5020"/>
    <w:rsid w:val="00AB52E2"/>
    <w:rsid w:val="00AB55E2"/>
    <w:rsid w:val="00AB6250"/>
    <w:rsid w:val="00AB7C84"/>
    <w:rsid w:val="00AB7E13"/>
    <w:rsid w:val="00AC01FF"/>
    <w:rsid w:val="00AC04C9"/>
    <w:rsid w:val="00AC1BA9"/>
    <w:rsid w:val="00AC5AFC"/>
    <w:rsid w:val="00AC75EB"/>
    <w:rsid w:val="00AC7CA8"/>
    <w:rsid w:val="00AD0EF7"/>
    <w:rsid w:val="00AD0FBE"/>
    <w:rsid w:val="00AD11ED"/>
    <w:rsid w:val="00AD1A0C"/>
    <w:rsid w:val="00AD413C"/>
    <w:rsid w:val="00AD5123"/>
    <w:rsid w:val="00AD5C85"/>
    <w:rsid w:val="00AD6288"/>
    <w:rsid w:val="00AE05C7"/>
    <w:rsid w:val="00AE2277"/>
    <w:rsid w:val="00AE3ADB"/>
    <w:rsid w:val="00AE4782"/>
    <w:rsid w:val="00AE5435"/>
    <w:rsid w:val="00AE6732"/>
    <w:rsid w:val="00AE7E1C"/>
    <w:rsid w:val="00AF008E"/>
    <w:rsid w:val="00AF1546"/>
    <w:rsid w:val="00AF208B"/>
    <w:rsid w:val="00AF4696"/>
    <w:rsid w:val="00AF6166"/>
    <w:rsid w:val="00AF6462"/>
    <w:rsid w:val="00AF7289"/>
    <w:rsid w:val="00B0076F"/>
    <w:rsid w:val="00B00C62"/>
    <w:rsid w:val="00B01732"/>
    <w:rsid w:val="00B024C9"/>
    <w:rsid w:val="00B02EDA"/>
    <w:rsid w:val="00B031B2"/>
    <w:rsid w:val="00B03EC6"/>
    <w:rsid w:val="00B0497A"/>
    <w:rsid w:val="00B062B1"/>
    <w:rsid w:val="00B07E53"/>
    <w:rsid w:val="00B1013E"/>
    <w:rsid w:val="00B1018B"/>
    <w:rsid w:val="00B12A0C"/>
    <w:rsid w:val="00B12C69"/>
    <w:rsid w:val="00B12D43"/>
    <w:rsid w:val="00B1354F"/>
    <w:rsid w:val="00B13A2A"/>
    <w:rsid w:val="00B15329"/>
    <w:rsid w:val="00B15779"/>
    <w:rsid w:val="00B171EB"/>
    <w:rsid w:val="00B210F3"/>
    <w:rsid w:val="00B229C2"/>
    <w:rsid w:val="00B231E3"/>
    <w:rsid w:val="00B232EA"/>
    <w:rsid w:val="00B2500C"/>
    <w:rsid w:val="00B25B1D"/>
    <w:rsid w:val="00B32958"/>
    <w:rsid w:val="00B33533"/>
    <w:rsid w:val="00B347FA"/>
    <w:rsid w:val="00B350AB"/>
    <w:rsid w:val="00B35EA0"/>
    <w:rsid w:val="00B366D0"/>
    <w:rsid w:val="00B36783"/>
    <w:rsid w:val="00B37513"/>
    <w:rsid w:val="00B376BC"/>
    <w:rsid w:val="00B402EC"/>
    <w:rsid w:val="00B40A51"/>
    <w:rsid w:val="00B4112C"/>
    <w:rsid w:val="00B42106"/>
    <w:rsid w:val="00B42300"/>
    <w:rsid w:val="00B42370"/>
    <w:rsid w:val="00B425C7"/>
    <w:rsid w:val="00B4511B"/>
    <w:rsid w:val="00B45F51"/>
    <w:rsid w:val="00B4632E"/>
    <w:rsid w:val="00B473B1"/>
    <w:rsid w:val="00B52B93"/>
    <w:rsid w:val="00B541EE"/>
    <w:rsid w:val="00B5441E"/>
    <w:rsid w:val="00B54956"/>
    <w:rsid w:val="00B55984"/>
    <w:rsid w:val="00B5724F"/>
    <w:rsid w:val="00B60FD4"/>
    <w:rsid w:val="00B6166C"/>
    <w:rsid w:val="00B6191F"/>
    <w:rsid w:val="00B61D91"/>
    <w:rsid w:val="00B63801"/>
    <w:rsid w:val="00B642E7"/>
    <w:rsid w:val="00B6466D"/>
    <w:rsid w:val="00B652D1"/>
    <w:rsid w:val="00B65723"/>
    <w:rsid w:val="00B70E6F"/>
    <w:rsid w:val="00B71789"/>
    <w:rsid w:val="00B7186E"/>
    <w:rsid w:val="00B71F78"/>
    <w:rsid w:val="00B72C0A"/>
    <w:rsid w:val="00B73132"/>
    <w:rsid w:val="00B741CA"/>
    <w:rsid w:val="00B770A1"/>
    <w:rsid w:val="00B773D0"/>
    <w:rsid w:val="00B80C98"/>
    <w:rsid w:val="00B82F60"/>
    <w:rsid w:val="00B83BF1"/>
    <w:rsid w:val="00B856DD"/>
    <w:rsid w:val="00B857AB"/>
    <w:rsid w:val="00B85B14"/>
    <w:rsid w:val="00B86083"/>
    <w:rsid w:val="00B8699D"/>
    <w:rsid w:val="00B86C7D"/>
    <w:rsid w:val="00B91171"/>
    <w:rsid w:val="00B9462A"/>
    <w:rsid w:val="00B9483F"/>
    <w:rsid w:val="00B948A3"/>
    <w:rsid w:val="00B94AA1"/>
    <w:rsid w:val="00B96A0D"/>
    <w:rsid w:val="00B97B79"/>
    <w:rsid w:val="00BA00E0"/>
    <w:rsid w:val="00BA20A0"/>
    <w:rsid w:val="00BA2FF4"/>
    <w:rsid w:val="00BA3272"/>
    <w:rsid w:val="00BA3FD0"/>
    <w:rsid w:val="00BA6F35"/>
    <w:rsid w:val="00BB0916"/>
    <w:rsid w:val="00BB22B9"/>
    <w:rsid w:val="00BB3E4E"/>
    <w:rsid w:val="00BB4D75"/>
    <w:rsid w:val="00BB5A54"/>
    <w:rsid w:val="00BB6327"/>
    <w:rsid w:val="00BB6E22"/>
    <w:rsid w:val="00BB7C23"/>
    <w:rsid w:val="00BC2762"/>
    <w:rsid w:val="00BC55A6"/>
    <w:rsid w:val="00BC648B"/>
    <w:rsid w:val="00BC6E67"/>
    <w:rsid w:val="00BC728D"/>
    <w:rsid w:val="00BC7648"/>
    <w:rsid w:val="00BD077E"/>
    <w:rsid w:val="00BD07B2"/>
    <w:rsid w:val="00BD0BAF"/>
    <w:rsid w:val="00BD1CCB"/>
    <w:rsid w:val="00BD2668"/>
    <w:rsid w:val="00BD2E00"/>
    <w:rsid w:val="00BD40FD"/>
    <w:rsid w:val="00BD4645"/>
    <w:rsid w:val="00BD4AB7"/>
    <w:rsid w:val="00BD4D97"/>
    <w:rsid w:val="00BD5188"/>
    <w:rsid w:val="00BD6C57"/>
    <w:rsid w:val="00BD6CF1"/>
    <w:rsid w:val="00BD70CE"/>
    <w:rsid w:val="00BE0969"/>
    <w:rsid w:val="00BE155A"/>
    <w:rsid w:val="00BE1DB3"/>
    <w:rsid w:val="00BE49C7"/>
    <w:rsid w:val="00BE4E58"/>
    <w:rsid w:val="00BE50D3"/>
    <w:rsid w:val="00BE5A48"/>
    <w:rsid w:val="00BE5CC4"/>
    <w:rsid w:val="00BE749B"/>
    <w:rsid w:val="00BF301A"/>
    <w:rsid w:val="00BF4913"/>
    <w:rsid w:val="00BF5DC0"/>
    <w:rsid w:val="00BF65BA"/>
    <w:rsid w:val="00BF6ACE"/>
    <w:rsid w:val="00BF751E"/>
    <w:rsid w:val="00BF7BA0"/>
    <w:rsid w:val="00BF7DBE"/>
    <w:rsid w:val="00C002C5"/>
    <w:rsid w:val="00C00866"/>
    <w:rsid w:val="00C00B9F"/>
    <w:rsid w:val="00C01126"/>
    <w:rsid w:val="00C0149A"/>
    <w:rsid w:val="00C016F7"/>
    <w:rsid w:val="00C02561"/>
    <w:rsid w:val="00C0426A"/>
    <w:rsid w:val="00C05239"/>
    <w:rsid w:val="00C058AE"/>
    <w:rsid w:val="00C06C7E"/>
    <w:rsid w:val="00C076A9"/>
    <w:rsid w:val="00C07F29"/>
    <w:rsid w:val="00C10ACC"/>
    <w:rsid w:val="00C113E3"/>
    <w:rsid w:val="00C11738"/>
    <w:rsid w:val="00C12587"/>
    <w:rsid w:val="00C12788"/>
    <w:rsid w:val="00C1317B"/>
    <w:rsid w:val="00C13D4B"/>
    <w:rsid w:val="00C14604"/>
    <w:rsid w:val="00C15D31"/>
    <w:rsid w:val="00C202EA"/>
    <w:rsid w:val="00C208EB"/>
    <w:rsid w:val="00C21351"/>
    <w:rsid w:val="00C21864"/>
    <w:rsid w:val="00C226C5"/>
    <w:rsid w:val="00C22EC5"/>
    <w:rsid w:val="00C24CE5"/>
    <w:rsid w:val="00C251BC"/>
    <w:rsid w:val="00C25288"/>
    <w:rsid w:val="00C26EB8"/>
    <w:rsid w:val="00C305AF"/>
    <w:rsid w:val="00C3172D"/>
    <w:rsid w:val="00C336E7"/>
    <w:rsid w:val="00C340E1"/>
    <w:rsid w:val="00C34734"/>
    <w:rsid w:val="00C42B47"/>
    <w:rsid w:val="00C42C71"/>
    <w:rsid w:val="00C43D4C"/>
    <w:rsid w:val="00C43F40"/>
    <w:rsid w:val="00C449E6"/>
    <w:rsid w:val="00C44D01"/>
    <w:rsid w:val="00C4771B"/>
    <w:rsid w:val="00C47C14"/>
    <w:rsid w:val="00C50AA7"/>
    <w:rsid w:val="00C518A1"/>
    <w:rsid w:val="00C51EE5"/>
    <w:rsid w:val="00C52868"/>
    <w:rsid w:val="00C55436"/>
    <w:rsid w:val="00C56447"/>
    <w:rsid w:val="00C571B0"/>
    <w:rsid w:val="00C60678"/>
    <w:rsid w:val="00C61F77"/>
    <w:rsid w:val="00C66FB5"/>
    <w:rsid w:val="00C706FB"/>
    <w:rsid w:val="00C70A0B"/>
    <w:rsid w:val="00C7242C"/>
    <w:rsid w:val="00C72DCB"/>
    <w:rsid w:val="00C73A88"/>
    <w:rsid w:val="00C743F1"/>
    <w:rsid w:val="00C77077"/>
    <w:rsid w:val="00C77544"/>
    <w:rsid w:val="00C80CB1"/>
    <w:rsid w:val="00C81744"/>
    <w:rsid w:val="00C81EC4"/>
    <w:rsid w:val="00C822FC"/>
    <w:rsid w:val="00C83E4D"/>
    <w:rsid w:val="00C843A9"/>
    <w:rsid w:val="00C870E2"/>
    <w:rsid w:val="00C90A98"/>
    <w:rsid w:val="00C90B29"/>
    <w:rsid w:val="00C91DBA"/>
    <w:rsid w:val="00C92061"/>
    <w:rsid w:val="00C92670"/>
    <w:rsid w:val="00C93214"/>
    <w:rsid w:val="00C97038"/>
    <w:rsid w:val="00C979E1"/>
    <w:rsid w:val="00CA0C65"/>
    <w:rsid w:val="00CA3A57"/>
    <w:rsid w:val="00CA3A7D"/>
    <w:rsid w:val="00CA556F"/>
    <w:rsid w:val="00CA76E5"/>
    <w:rsid w:val="00CA7D4D"/>
    <w:rsid w:val="00CB0D85"/>
    <w:rsid w:val="00CB0FD3"/>
    <w:rsid w:val="00CB1B14"/>
    <w:rsid w:val="00CC01F8"/>
    <w:rsid w:val="00CC05BA"/>
    <w:rsid w:val="00CC08A8"/>
    <w:rsid w:val="00CC106F"/>
    <w:rsid w:val="00CC14EB"/>
    <w:rsid w:val="00CC25E8"/>
    <w:rsid w:val="00CC2B24"/>
    <w:rsid w:val="00CC3569"/>
    <w:rsid w:val="00CC41EC"/>
    <w:rsid w:val="00CC48A2"/>
    <w:rsid w:val="00CC4D21"/>
    <w:rsid w:val="00CC776F"/>
    <w:rsid w:val="00CC7830"/>
    <w:rsid w:val="00CC78D8"/>
    <w:rsid w:val="00CD0F21"/>
    <w:rsid w:val="00CD126B"/>
    <w:rsid w:val="00CD1696"/>
    <w:rsid w:val="00CD18D9"/>
    <w:rsid w:val="00CD2DB1"/>
    <w:rsid w:val="00CD3161"/>
    <w:rsid w:val="00CD31D1"/>
    <w:rsid w:val="00CD3B50"/>
    <w:rsid w:val="00CD4C57"/>
    <w:rsid w:val="00CD56C8"/>
    <w:rsid w:val="00CD6109"/>
    <w:rsid w:val="00CD6266"/>
    <w:rsid w:val="00CD70E1"/>
    <w:rsid w:val="00CD76B7"/>
    <w:rsid w:val="00CD7B60"/>
    <w:rsid w:val="00CE30EB"/>
    <w:rsid w:val="00CE4000"/>
    <w:rsid w:val="00CE46B8"/>
    <w:rsid w:val="00CE68E0"/>
    <w:rsid w:val="00CE6D40"/>
    <w:rsid w:val="00CF114E"/>
    <w:rsid w:val="00CF1B0A"/>
    <w:rsid w:val="00CF200F"/>
    <w:rsid w:val="00CF24E5"/>
    <w:rsid w:val="00CF3ABE"/>
    <w:rsid w:val="00CF4180"/>
    <w:rsid w:val="00CF4631"/>
    <w:rsid w:val="00CF5087"/>
    <w:rsid w:val="00CF5391"/>
    <w:rsid w:val="00CF685B"/>
    <w:rsid w:val="00CF7320"/>
    <w:rsid w:val="00D00CCE"/>
    <w:rsid w:val="00D00DE4"/>
    <w:rsid w:val="00D01DF5"/>
    <w:rsid w:val="00D027F6"/>
    <w:rsid w:val="00D02B67"/>
    <w:rsid w:val="00D0574B"/>
    <w:rsid w:val="00D06180"/>
    <w:rsid w:val="00D07645"/>
    <w:rsid w:val="00D07F0A"/>
    <w:rsid w:val="00D11C96"/>
    <w:rsid w:val="00D11DC4"/>
    <w:rsid w:val="00D12156"/>
    <w:rsid w:val="00D12CA5"/>
    <w:rsid w:val="00D143FD"/>
    <w:rsid w:val="00D1560F"/>
    <w:rsid w:val="00D159E2"/>
    <w:rsid w:val="00D1671F"/>
    <w:rsid w:val="00D16FC1"/>
    <w:rsid w:val="00D176D7"/>
    <w:rsid w:val="00D21468"/>
    <w:rsid w:val="00D22169"/>
    <w:rsid w:val="00D224E4"/>
    <w:rsid w:val="00D252B1"/>
    <w:rsid w:val="00D252B6"/>
    <w:rsid w:val="00D32863"/>
    <w:rsid w:val="00D32EC6"/>
    <w:rsid w:val="00D34482"/>
    <w:rsid w:val="00D35927"/>
    <w:rsid w:val="00D36D79"/>
    <w:rsid w:val="00D36F0E"/>
    <w:rsid w:val="00D377E3"/>
    <w:rsid w:val="00D4016D"/>
    <w:rsid w:val="00D40265"/>
    <w:rsid w:val="00D407C5"/>
    <w:rsid w:val="00D40DDD"/>
    <w:rsid w:val="00D42102"/>
    <w:rsid w:val="00D42570"/>
    <w:rsid w:val="00D42BC5"/>
    <w:rsid w:val="00D461BD"/>
    <w:rsid w:val="00D465E1"/>
    <w:rsid w:val="00D46D3B"/>
    <w:rsid w:val="00D5078C"/>
    <w:rsid w:val="00D51A86"/>
    <w:rsid w:val="00D53339"/>
    <w:rsid w:val="00D54660"/>
    <w:rsid w:val="00D5761D"/>
    <w:rsid w:val="00D62255"/>
    <w:rsid w:val="00D6293E"/>
    <w:rsid w:val="00D63211"/>
    <w:rsid w:val="00D633A9"/>
    <w:rsid w:val="00D634AF"/>
    <w:rsid w:val="00D654B2"/>
    <w:rsid w:val="00D658B9"/>
    <w:rsid w:val="00D66506"/>
    <w:rsid w:val="00D66FDA"/>
    <w:rsid w:val="00D75D44"/>
    <w:rsid w:val="00D76463"/>
    <w:rsid w:val="00D77289"/>
    <w:rsid w:val="00D809EA"/>
    <w:rsid w:val="00D83359"/>
    <w:rsid w:val="00D84042"/>
    <w:rsid w:val="00D84823"/>
    <w:rsid w:val="00D85177"/>
    <w:rsid w:val="00D8595F"/>
    <w:rsid w:val="00D859FD"/>
    <w:rsid w:val="00D85FB8"/>
    <w:rsid w:val="00D863EE"/>
    <w:rsid w:val="00D86F42"/>
    <w:rsid w:val="00D90929"/>
    <w:rsid w:val="00D913D2"/>
    <w:rsid w:val="00D9181F"/>
    <w:rsid w:val="00D91BA9"/>
    <w:rsid w:val="00D938D0"/>
    <w:rsid w:val="00D94602"/>
    <w:rsid w:val="00D94CF2"/>
    <w:rsid w:val="00D961DF"/>
    <w:rsid w:val="00D96750"/>
    <w:rsid w:val="00DA12CF"/>
    <w:rsid w:val="00DA376F"/>
    <w:rsid w:val="00DA5689"/>
    <w:rsid w:val="00DA570D"/>
    <w:rsid w:val="00DA6A5A"/>
    <w:rsid w:val="00DA7132"/>
    <w:rsid w:val="00DA76DE"/>
    <w:rsid w:val="00DA77B9"/>
    <w:rsid w:val="00DB2C82"/>
    <w:rsid w:val="00DB3FC1"/>
    <w:rsid w:val="00DB4498"/>
    <w:rsid w:val="00DB4ED4"/>
    <w:rsid w:val="00DB55F3"/>
    <w:rsid w:val="00DB7338"/>
    <w:rsid w:val="00DC09A6"/>
    <w:rsid w:val="00DC106F"/>
    <w:rsid w:val="00DC2508"/>
    <w:rsid w:val="00DC2FF5"/>
    <w:rsid w:val="00DC691E"/>
    <w:rsid w:val="00DC6E26"/>
    <w:rsid w:val="00DC6E68"/>
    <w:rsid w:val="00DC7245"/>
    <w:rsid w:val="00DD0B47"/>
    <w:rsid w:val="00DD16CA"/>
    <w:rsid w:val="00DD1C5C"/>
    <w:rsid w:val="00DD1F57"/>
    <w:rsid w:val="00DD4514"/>
    <w:rsid w:val="00DD4A38"/>
    <w:rsid w:val="00DD595F"/>
    <w:rsid w:val="00DD5D85"/>
    <w:rsid w:val="00DD69D5"/>
    <w:rsid w:val="00DD726F"/>
    <w:rsid w:val="00DD77D8"/>
    <w:rsid w:val="00DD7A8A"/>
    <w:rsid w:val="00DD7B7A"/>
    <w:rsid w:val="00DE1179"/>
    <w:rsid w:val="00DE2DE5"/>
    <w:rsid w:val="00DE4937"/>
    <w:rsid w:val="00DE4A1F"/>
    <w:rsid w:val="00DE4BA7"/>
    <w:rsid w:val="00DE5147"/>
    <w:rsid w:val="00DE6869"/>
    <w:rsid w:val="00DE758D"/>
    <w:rsid w:val="00DF04AB"/>
    <w:rsid w:val="00DF0C20"/>
    <w:rsid w:val="00DF129C"/>
    <w:rsid w:val="00DF1D52"/>
    <w:rsid w:val="00DF268F"/>
    <w:rsid w:val="00DF3C63"/>
    <w:rsid w:val="00DF4481"/>
    <w:rsid w:val="00DF70CA"/>
    <w:rsid w:val="00DF7201"/>
    <w:rsid w:val="00E007C4"/>
    <w:rsid w:val="00E05FD3"/>
    <w:rsid w:val="00E0612F"/>
    <w:rsid w:val="00E07210"/>
    <w:rsid w:val="00E074E3"/>
    <w:rsid w:val="00E10339"/>
    <w:rsid w:val="00E103E3"/>
    <w:rsid w:val="00E10B3B"/>
    <w:rsid w:val="00E11748"/>
    <w:rsid w:val="00E120A0"/>
    <w:rsid w:val="00E12A64"/>
    <w:rsid w:val="00E12FF6"/>
    <w:rsid w:val="00E24529"/>
    <w:rsid w:val="00E24C09"/>
    <w:rsid w:val="00E26076"/>
    <w:rsid w:val="00E261A6"/>
    <w:rsid w:val="00E26977"/>
    <w:rsid w:val="00E26D80"/>
    <w:rsid w:val="00E26FCC"/>
    <w:rsid w:val="00E27CE2"/>
    <w:rsid w:val="00E3096B"/>
    <w:rsid w:val="00E30E26"/>
    <w:rsid w:val="00E31ABA"/>
    <w:rsid w:val="00E31C5D"/>
    <w:rsid w:val="00E34F8C"/>
    <w:rsid w:val="00E355E6"/>
    <w:rsid w:val="00E3638C"/>
    <w:rsid w:val="00E36B26"/>
    <w:rsid w:val="00E37369"/>
    <w:rsid w:val="00E37786"/>
    <w:rsid w:val="00E37997"/>
    <w:rsid w:val="00E379E3"/>
    <w:rsid w:val="00E41CA0"/>
    <w:rsid w:val="00E42738"/>
    <w:rsid w:val="00E4283A"/>
    <w:rsid w:val="00E4292D"/>
    <w:rsid w:val="00E4550F"/>
    <w:rsid w:val="00E464D7"/>
    <w:rsid w:val="00E47083"/>
    <w:rsid w:val="00E47DE7"/>
    <w:rsid w:val="00E51CC4"/>
    <w:rsid w:val="00E52B75"/>
    <w:rsid w:val="00E53BF6"/>
    <w:rsid w:val="00E53C52"/>
    <w:rsid w:val="00E55A5C"/>
    <w:rsid w:val="00E55EC1"/>
    <w:rsid w:val="00E56295"/>
    <w:rsid w:val="00E60E4E"/>
    <w:rsid w:val="00E61879"/>
    <w:rsid w:val="00E638F6"/>
    <w:rsid w:val="00E63E24"/>
    <w:rsid w:val="00E64B5A"/>
    <w:rsid w:val="00E650D0"/>
    <w:rsid w:val="00E665B6"/>
    <w:rsid w:val="00E66B40"/>
    <w:rsid w:val="00E67070"/>
    <w:rsid w:val="00E67916"/>
    <w:rsid w:val="00E67F4C"/>
    <w:rsid w:val="00E70851"/>
    <w:rsid w:val="00E710EF"/>
    <w:rsid w:val="00E71459"/>
    <w:rsid w:val="00E71802"/>
    <w:rsid w:val="00E720A7"/>
    <w:rsid w:val="00E72E33"/>
    <w:rsid w:val="00E73506"/>
    <w:rsid w:val="00E74D6E"/>
    <w:rsid w:val="00E75142"/>
    <w:rsid w:val="00E7543C"/>
    <w:rsid w:val="00E763B7"/>
    <w:rsid w:val="00E765C1"/>
    <w:rsid w:val="00E76949"/>
    <w:rsid w:val="00E76F8D"/>
    <w:rsid w:val="00E80D99"/>
    <w:rsid w:val="00E836DC"/>
    <w:rsid w:val="00E84F1B"/>
    <w:rsid w:val="00E8587F"/>
    <w:rsid w:val="00E86EF9"/>
    <w:rsid w:val="00E909DE"/>
    <w:rsid w:val="00E92E69"/>
    <w:rsid w:val="00E94371"/>
    <w:rsid w:val="00E94386"/>
    <w:rsid w:val="00E94644"/>
    <w:rsid w:val="00E9542E"/>
    <w:rsid w:val="00E95C47"/>
    <w:rsid w:val="00E96499"/>
    <w:rsid w:val="00E972C8"/>
    <w:rsid w:val="00EA15B5"/>
    <w:rsid w:val="00EA219F"/>
    <w:rsid w:val="00EA2BC9"/>
    <w:rsid w:val="00EA327A"/>
    <w:rsid w:val="00EA5B23"/>
    <w:rsid w:val="00EA6285"/>
    <w:rsid w:val="00EB0575"/>
    <w:rsid w:val="00EB0E5D"/>
    <w:rsid w:val="00EB1B40"/>
    <w:rsid w:val="00EB22CD"/>
    <w:rsid w:val="00EB24D0"/>
    <w:rsid w:val="00EB5946"/>
    <w:rsid w:val="00EB6DE9"/>
    <w:rsid w:val="00EB7565"/>
    <w:rsid w:val="00EB7790"/>
    <w:rsid w:val="00EC26A0"/>
    <w:rsid w:val="00EC30EE"/>
    <w:rsid w:val="00EC40D1"/>
    <w:rsid w:val="00EC6A0D"/>
    <w:rsid w:val="00EC7A02"/>
    <w:rsid w:val="00ED1214"/>
    <w:rsid w:val="00ED14F7"/>
    <w:rsid w:val="00ED1947"/>
    <w:rsid w:val="00ED340A"/>
    <w:rsid w:val="00ED61EE"/>
    <w:rsid w:val="00ED6413"/>
    <w:rsid w:val="00ED6555"/>
    <w:rsid w:val="00ED6967"/>
    <w:rsid w:val="00ED6CBD"/>
    <w:rsid w:val="00EE0EC3"/>
    <w:rsid w:val="00EE14EF"/>
    <w:rsid w:val="00EE1AD6"/>
    <w:rsid w:val="00EE1CD6"/>
    <w:rsid w:val="00EE34CF"/>
    <w:rsid w:val="00EE375F"/>
    <w:rsid w:val="00EE422B"/>
    <w:rsid w:val="00EE4B14"/>
    <w:rsid w:val="00EE5806"/>
    <w:rsid w:val="00EE660E"/>
    <w:rsid w:val="00EE66EC"/>
    <w:rsid w:val="00EE70B4"/>
    <w:rsid w:val="00EE7526"/>
    <w:rsid w:val="00EE77A8"/>
    <w:rsid w:val="00EF00D7"/>
    <w:rsid w:val="00EF05C7"/>
    <w:rsid w:val="00EF1463"/>
    <w:rsid w:val="00EF3672"/>
    <w:rsid w:val="00EF3B94"/>
    <w:rsid w:val="00EF46BF"/>
    <w:rsid w:val="00EF4B86"/>
    <w:rsid w:val="00EF4D4F"/>
    <w:rsid w:val="00EF5291"/>
    <w:rsid w:val="00EF663A"/>
    <w:rsid w:val="00EF675E"/>
    <w:rsid w:val="00EF72B9"/>
    <w:rsid w:val="00F01878"/>
    <w:rsid w:val="00F020B8"/>
    <w:rsid w:val="00F03F22"/>
    <w:rsid w:val="00F04397"/>
    <w:rsid w:val="00F062A1"/>
    <w:rsid w:val="00F070A1"/>
    <w:rsid w:val="00F07105"/>
    <w:rsid w:val="00F12CE3"/>
    <w:rsid w:val="00F131FB"/>
    <w:rsid w:val="00F1364B"/>
    <w:rsid w:val="00F13B71"/>
    <w:rsid w:val="00F147E4"/>
    <w:rsid w:val="00F17057"/>
    <w:rsid w:val="00F170AD"/>
    <w:rsid w:val="00F20E87"/>
    <w:rsid w:val="00F20FDE"/>
    <w:rsid w:val="00F213F1"/>
    <w:rsid w:val="00F232B4"/>
    <w:rsid w:val="00F242DB"/>
    <w:rsid w:val="00F24885"/>
    <w:rsid w:val="00F2651D"/>
    <w:rsid w:val="00F265A6"/>
    <w:rsid w:val="00F316C0"/>
    <w:rsid w:val="00F320C9"/>
    <w:rsid w:val="00F3274E"/>
    <w:rsid w:val="00F32BF5"/>
    <w:rsid w:val="00F336D4"/>
    <w:rsid w:val="00F33F90"/>
    <w:rsid w:val="00F35041"/>
    <w:rsid w:val="00F354E7"/>
    <w:rsid w:val="00F35A5A"/>
    <w:rsid w:val="00F3660E"/>
    <w:rsid w:val="00F36DA4"/>
    <w:rsid w:val="00F377C0"/>
    <w:rsid w:val="00F41ECD"/>
    <w:rsid w:val="00F438AC"/>
    <w:rsid w:val="00F439B1"/>
    <w:rsid w:val="00F443D1"/>
    <w:rsid w:val="00F448B3"/>
    <w:rsid w:val="00F44DF7"/>
    <w:rsid w:val="00F466DC"/>
    <w:rsid w:val="00F46F45"/>
    <w:rsid w:val="00F47374"/>
    <w:rsid w:val="00F4744C"/>
    <w:rsid w:val="00F47A53"/>
    <w:rsid w:val="00F50C79"/>
    <w:rsid w:val="00F51391"/>
    <w:rsid w:val="00F519A8"/>
    <w:rsid w:val="00F51DCF"/>
    <w:rsid w:val="00F52995"/>
    <w:rsid w:val="00F555F1"/>
    <w:rsid w:val="00F5591A"/>
    <w:rsid w:val="00F562F6"/>
    <w:rsid w:val="00F56381"/>
    <w:rsid w:val="00F572F2"/>
    <w:rsid w:val="00F61222"/>
    <w:rsid w:val="00F61B90"/>
    <w:rsid w:val="00F62820"/>
    <w:rsid w:val="00F6391F"/>
    <w:rsid w:val="00F63BC9"/>
    <w:rsid w:val="00F63F62"/>
    <w:rsid w:val="00F64E43"/>
    <w:rsid w:val="00F650D5"/>
    <w:rsid w:val="00F652AB"/>
    <w:rsid w:val="00F65E7C"/>
    <w:rsid w:val="00F71C2E"/>
    <w:rsid w:val="00F73F7D"/>
    <w:rsid w:val="00F7488B"/>
    <w:rsid w:val="00F75206"/>
    <w:rsid w:val="00F76E8F"/>
    <w:rsid w:val="00F77CE2"/>
    <w:rsid w:val="00F80C1E"/>
    <w:rsid w:val="00F83980"/>
    <w:rsid w:val="00F83F61"/>
    <w:rsid w:val="00F85A8D"/>
    <w:rsid w:val="00F86A56"/>
    <w:rsid w:val="00F86DD4"/>
    <w:rsid w:val="00F87A90"/>
    <w:rsid w:val="00F87B42"/>
    <w:rsid w:val="00F914EC"/>
    <w:rsid w:val="00F92F43"/>
    <w:rsid w:val="00F9345A"/>
    <w:rsid w:val="00F93F07"/>
    <w:rsid w:val="00F946AA"/>
    <w:rsid w:val="00F94D27"/>
    <w:rsid w:val="00F954E4"/>
    <w:rsid w:val="00F962AD"/>
    <w:rsid w:val="00F97517"/>
    <w:rsid w:val="00FA0485"/>
    <w:rsid w:val="00FA04E6"/>
    <w:rsid w:val="00FA0700"/>
    <w:rsid w:val="00FA1E59"/>
    <w:rsid w:val="00FA20F5"/>
    <w:rsid w:val="00FA218D"/>
    <w:rsid w:val="00FA27E6"/>
    <w:rsid w:val="00FA4A82"/>
    <w:rsid w:val="00FA5C0B"/>
    <w:rsid w:val="00FA6B4F"/>
    <w:rsid w:val="00FB1543"/>
    <w:rsid w:val="00FB1667"/>
    <w:rsid w:val="00FB1F4B"/>
    <w:rsid w:val="00FB26F2"/>
    <w:rsid w:val="00FB4740"/>
    <w:rsid w:val="00FB4F11"/>
    <w:rsid w:val="00FB6758"/>
    <w:rsid w:val="00FB6BB7"/>
    <w:rsid w:val="00FC0B85"/>
    <w:rsid w:val="00FC17BC"/>
    <w:rsid w:val="00FC1DB6"/>
    <w:rsid w:val="00FC27DB"/>
    <w:rsid w:val="00FC2DD9"/>
    <w:rsid w:val="00FC325F"/>
    <w:rsid w:val="00FC3354"/>
    <w:rsid w:val="00FC3B17"/>
    <w:rsid w:val="00FC4F08"/>
    <w:rsid w:val="00FC7287"/>
    <w:rsid w:val="00FD0907"/>
    <w:rsid w:val="00FD175F"/>
    <w:rsid w:val="00FD1FED"/>
    <w:rsid w:val="00FD254B"/>
    <w:rsid w:val="00FD3407"/>
    <w:rsid w:val="00FD4543"/>
    <w:rsid w:val="00FD5140"/>
    <w:rsid w:val="00FD5C8F"/>
    <w:rsid w:val="00FD635D"/>
    <w:rsid w:val="00FD6CA2"/>
    <w:rsid w:val="00FD7116"/>
    <w:rsid w:val="00FD7EB4"/>
    <w:rsid w:val="00FE35B0"/>
    <w:rsid w:val="00FE773B"/>
    <w:rsid w:val="00FE7817"/>
    <w:rsid w:val="00FF1380"/>
    <w:rsid w:val="00FF1717"/>
    <w:rsid w:val="00FF21B9"/>
    <w:rsid w:val="00FF25FD"/>
    <w:rsid w:val="00FF2C67"/>
    <w:rsid w:val="00FF3363"/>
    <w:rsid w:val="00FF35A2"/>
    <w:rsid w:val="00FF445C"/>
    <w:rsid w:val="00FF48B7"/>
    <w:rsid w:val="00FF4BFC"/>
    <w:rsid w:val="00FF5E73"/>
    <w:rsid w:val="00FF6329"/>
    <w:rsid w:val="00FF788F"/>
    <w:rsid w:val="00FF7C94"/>
    <w:rsid w:val="00FF7E66"/>
    <w:rsid w:val="01735FAA"/>
    <w:rsid w:val="02063FE0"/>
    <w:rsid w:val="03DA60C2"/>
    <w:rsid w:val="044A418F"/>
    <w:rsid w:val="04C364F6"/>
    <w:rsid w:val="057D0791"/>
    <w:rsid w:val="06555A42"/>
    <w:rsid w:val="077F3018"/>
    <w:rsid w:val="080F7311"/>
    <w:rsid w:val="09D64A88"/>
    <w:rsid w:val="0A836D93"/>
    <w:rsid w:val="0AA11ACB"/>
    <w:rsid w:val="0BF25D41"/>
    <w:rsid w:val="0BFC323A"/>
    <w:rsid w:val="0D2B08EC"/>
    <w:rsid w:val="0D4D1F77"/>
    <w:rsid w:val="0DCF2837"/>
    <w:rsid w:val="0F8B7F52"/>
    <w:rsid w:val="11B5219D"/>
    <w:rsid w:val="12B00EBD"/>
    <w:rsid w:val="12C61271"/>
    <w:rsid w:val="12DF5B39"/>
    <w:rsid w:val="134875A2"/>
    <w:rsid w:val="148C1946"/>
    <w:rsid w:val="14EC72AA"/>
    <w:rsid w:val="1660215C"/>
    <w:rsid w:val="16613949"/>
    <w:rsid w:val="174C0338"/>
    <w:rsid w:val="17D9458D"/>
    <w:rsid w:val="19632DB3"/>
    <w:rsid w:val="1A1A0D94"/>
    <w:rsid w:val="1A1B63DD"/>
    <w:rsid w:val="1B5921F8"/>
    <w:rsid w:val="1CAC1646"/>
    <w:rsid w:val="1CE75804"/>
    <w:rsid w:val="1D10123B"/>
    <w:rsid w:val="1D756A60"/>
    <w:rsid w:val="1E2B02F8"/>
    <w:rsid w:val="1EC518D8"/>
    <w:rsid w:val="1F6A34C4"/>
    <w:rsid w:val="204B6589"/>
    <w:rsid w:val="21FF2AD6"/>
    <w:rsid w:val="22FB3625"/>
    <w:rsid w:val="23131321"/>
    <w:rsid w:val="234C2C71"/>
    <w:rsid w:val="23556A9D"/>
    <w:rsid w:val="26C31474"/>
    <w:rsid w:val="27AB0725"/>
    <w:rsid w:val="28AB4449"/>
    <w:rsid w:val="28C1693D"/>
    <w:rsid w:val="2ADA1AFF"/>
    <w:rsid w:val="2AFE34AD"/>
    <w:rsid w:val="2D46629B"/>
    <w:rsid w:val="2DC2669F"/>
    <w:rsid w:val="2FCA0E17"/>
    <w:rsid w:val="30601F26"/>
    <w:rsid w:val="3224552D"/>
    <w:rsid w:val="35F55D16"/>
    <w:rsid w:val="363C1DEB"/>
    <w:rsid w:val="36A3757E"/>
    <w:rsid w:val="3988015D"/>
    <w:rsid w:val="3A0719C4"/>
    <w:rsid w:val="3A8D19AC"/>
    <w:rsid w:val="3C347B09"/>
    <w:rsid w:val="3D0038A0"/>
    <w:rsid w:val="3DE27CFD"/>
    <w:rsid w:val="40594F69"/>
    <w:rsid w:val="42161379"/>
    <w:rsid w:val="42695E06"/>
    <w:rsid w:val="43EA2373"/>
    <w:rsid w:val="43F06EC4"/>
    <w:rsid w:val="44CD219C"/>
    <w:rsid w:val="461D679C"/>
    <w:rsid w:val="46C86DAC"/>
    <w:rsid w:val="47FA7ACA"/>
    <w:rsid w:val="48AB6528"/>
    <w:rsid w:val="49DE0D7C"/>
    <w:rsid w:val="4A40039A"/>
    <w:rsid w:val="4AC62812"/>
    <w:rsid w:val="4B5A740E"/>
    <w:rsid w:val="4B5F0E37"/>
    <w:rsid w:val="4C2E4987"/>
    <w:rsid w:val="4DD826E7"/>
    <w:rsid w:val="4E387B62"/>
    <w:rsid w:val="4E8D0FEE"/>
    <w:rsid w:val="4F384857"/>
    <w:rsid w:val="509D6567"/>
    <w:rsid w:val="510622E9"/>
    <w:rsid w:val="52E737B9"/>
    <w:rsid w:val="530551CE"/>
    <w:rsid w:val="5312049A"/>
    <w:rsid w:val="53994E1D"/>
    <w:rsid w:val="576705A1"/>
    <w:rsid w:val="58574D44"/>
    <w:rsid w:val="58EB17BB"/>
    <w:rsid w:val="5B6A0EE1"/>
    <w:rsid w:val="5BAE1610"/>
    <w:rsid w:val="5CD3439C"/>
    <w:rsid w:val="5CF91198"/>
    <w:rsid w:val="5D385380"/>
    <w:rsid w:val="5DCB20D2"/>
    <w:rsid w:val="5E9A06E4"/>
    <w:rsid w:val="5FF554C6"/>
    <w:rsid w:val="61967E27"/>
    <w:rsid w:val="62421D47"/>
    <w:rsid w:val="628A11CA"/>
    <w:rsid w:val="62A63868"/>
    <w:rsid w:val="65A916B8"/>
    <w:rsid w:val="65BA7A30"/>
    <w:rsid w:val="679A418D"/>
    <w:rsid w:val="67BA1852"/>
    <w:rsid w:val="69307D5D"/>
    <w:rsid w:val="69321FD5"/>
    <w:rsid w:val="696A4320"/>
    <w:rsid w:val="6A0A4FA2"/>
    <w:rsid w:val="6B312EBE"/>
    <w:rsid w:val="6E6A37B3"/>
    <w:rsid w:val="6EFC514E"/>
    <w:rsid w:val="6FA0487D"/>
    <w:rsid w:val="710E13A5"/>
    <w:rsid w:val="71206E7F"/>
    <w:rsid w:val="73912327"/>
    <w:rsid w:val="73A231F8"/>
    <w:rsid w:val="73BA498B"/>
    <w:rsid w:val="74D74BBC"/>
    <w:rsid w:val="760468F4"/>
    <w:rsid w:val="76175851"/>
    <w:rsid w:val="76BF2EFE"/>
    <w:rsid w:val="76ED2D1C"/>
    <w:rsid w:val="774729EF"/>
    <w:rsid w:val="77AD4AEF"/>
    <w:rsid w:val="794877B4"/>
    <w:rsid w:val="799D5A3A"/>
    <w:rsid w:val="7B104291"/>
    <w:rsid w:val="7BE06349"/>
    <w:rsid w:val="7CDA1DE4"/>
    <w:rsid w:val="7E233DDE"/>
    <w:rsid w:val="7E821F1F"/>
    <w:rsid w:val="7EED3DCE"/>
    <w:rsid w:val="7EF503AF"/>
    <w:rsid w:val="7F932F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27"/>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8">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7">
    <w:name w:val="Normal Indent"/>
    <w:basedOn w:val="1"/>
    <w:link w:val="28"/>
    <w:qFormat/>
    <w:uiPriority w:val="0"/>
    <w:pPr>
      <w:ind w:firstLine="420"/>
    </w:pPr>
    <w:rPr>
      <w:szCs w:val="20"/>
    </w:rPr>
  </w:style>
  <w:style w:type="paragraph" w:styleId="8">
    <w:name w:val="Document Map"/>
    <w:basedOn w:val="1"/>
    <w:semiHidden/>
    <w:qFormat/>
    <w:uiPriority w:val="0"/>
    <w:pPr>
      <w:widowControl/>
      <w:shd w:val="clear" w:color="auto" w:fill="000080"/>
      <w:jc w:val="left"/>
    </w:pPr>
    <w:rPr>
      <w:rFonts w:ascii="Tahoma" w:hAnsi="Tahoma" w:cs="Tahoma"/>
      <w:kern w:val="0"/>
      <w:sz w:val="20"/>
      <w:szCs w:val="20"/>
      <w:lang w:eastAsia="en-US"/>
    </w:rPr>
  </w:style>
  <w:style w:type="paragraph" w:styleId="9">
    <w:name w:val="annotation text"/>
    <w:basedOn w:val="1"/>
    <w:semiHidden/>
    <w:qFormat/>
    <w:uiPriority w:val="0"/>
    <w:pPr>
      <w:jc w:val="left"/>
    </w:pPr>
  </w:style>
  <w:style w:type="paragraph" w:styleId="10">
    <w:name w:val="Plain Text"/>
    <w:basedOn w:val="1"/>
    <w:link w:val="26"/>
    <w:qFormat/>
    <w:uiPriority w:val="0"/>
    <w:rPr>
      <w:rFonts w:ascii="宋体" w:hAnsi="Courier New"/>
      <w:sz w:val="24"/>
      <w:szCs w:val="20"/>
    </w:rPr>
  </w:style>
  <w:style w:type="paragraph" w:styleId="11">
    <w:name w:val="Balloon Text"/>
    <w:basedOn w:val="1"/>
    <w:semiHidden/>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5">
    <w:name w:val="annotation subject"/>
    <w:basedOn w:val="9"/>
    <w:next w:val="9"/>
    <w:semiHidden/>
    <w:qFormat/>
    <w:uiPriority w:val="0"/>
    <w:rPr>
      <w:b/>
      <w:bCs/>
    </w:rPr>
  </w:style>
  <w:style w:type="table" w:styleId="17">
    <w:name w:val="Table Grid"/>
    <w:basedOn w:val="1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qFormat/>
    <w:uiPriority w:val="0"/>
    <w:rPr>
      <w:b/>
      <w:bCs/>
    </w:rPr>
  </w:style>
  <w:style w:type="character" w:styleId="20">
    <w:name w:val="page number"/>
    <w:basedOn w:val="18"/>
    <w:qFormat/>
    <w:uiPriority w:val="0"/>
  </w:style>
  <w:style w:type="character" w:styleId="21">
    <w:name w:val="FollowedHyperlink"/>
    <w:unhideWhenUsed/>
    <w:qFormat/>
    <w:uiPriority w:val="0"/>
    <w:rPr>
      <w:color w:val="505050"/>
      <w:u w:val="none"/>
    </w:rPr>
  </w:style>
  <w:style w:type="character" w:styleId="22">
    <w:name w:val="Hyperlink"/>
    <w:unhideWhenUsed/>
    <w:qFormat/>
    <w:uiPriority w:val="0"/>
    <w:rPr>
      <w:color w:val="505050"/>
      <w:u w:val="none"/>
    </w:rPr>
  </w:style>
  <w:style w:type="character" w:styleId="23">
    <w:name w:val="annotation reference"/>
    <w:semiHidden/>
    <w:qFormat/>
    <w:uiPriority w:val="0"/>
    <w:rPr>
      <w:sz w:val="21"/>
      <w:szCs w:val="21"/>
    </w:rPr>
  </w:style>
  <w:style w:type="character" w:customStyle="1" w:styleId="24">
    <w:name w:val="kcgl_del_r1"/>
    <w:qFormat/>
    <w:uiPriority w:val="0"/>
    <w:rPr>
      <w:color w:val="737C93"/>
    </w:rPr>
  </w:style>
  <w:style w:type="character" w:customStyle="1" w:styleId="25">
    <w:name w:val="err-close"/>
    <w:qFormat/>
    <w:uiPriority w:val="0"/>
    <w:rPr>
      <w:color w:val="57AFE3"/>
      <w:sz w:val="18"/>
      <w:szCs w:val="18"/>
    </w:rPr>
  </w:style>
  <w:style w:type="character" w:customStyle="1" w:styleId="26">
    <w:name w:val="纯文本 字符"/>
    <w:link w:val="10"/>
    <w:qFormat/>
    <w:uiPriority w:val="0"/>
    <w:rPr>
      <w:rFonts w:ascii="宋体" w:hAnsi="Courier New" w:eastAsia="宋体"/>
      <w:kern w:val="2"/>
      <w:sz w:val="24"/>
      <w:lang w:val="en-US" w:eastAsia="zh-CN" w:bidi="ar-SA"/>
    </w:rPr>
  </w:style>
  <w:style w:type="character" w:customStyle="1" w:styleId="27">
    <w:name w:val="标题 3 字符"/>
    <w:link w:val="5"/>
    <w:semiHidden/>
    <w:qFormat/>
    <w:uiPriority w:val="0"/>
    <w:rPr>
      <w:b/>
      <w:bCs/>
      <w:kern w:val="2"/>
      <w:sz w:val="32"/>
      <w:szCs w:val="32"/>
    </w:rPr>
  </w:style>
  <w:style w:type="character" w:customStyle="1" w:styleId="28">
    <w:name w:val="正文缩进 字符"/>
    <w:link w:val="7"/>
    <w:qFormat/>
    <w:uiPriority w:val="0"/>
    <w:rPr>
      <w:kern w:val="2"/>
      <w:sz w:val="21"/>
    </w:rPr>
  </w:style>
  <w:style w:type="character" w:customStyle="1" w:styleId="29">
    <w:name w:val="apple-converted-space"/>
    <w:basedOn w:val="18"/>
    <w:qFormat/>
    <w:uiPriority w:val="0"/>
  </w:style>
  <w:style w:type="character" w:customStyle="1" w:styleId="30">
    <w:name w:val="kcgl_add_r"/>
    <w:qFormat/>
    <w:uiPriority w:val="0"/>
    <w:rPr>
      <w:b/>
      <w:color w:val="FFFFFF"/>
      <w:shd w:val="clear" w:color="auto" w:fill="57AFE3"/>
    </w:rPr>
  </w:style>
  <w:style w:type="character" w:customStyle="1" w:styleId="31">
    <w:name w:val="post-date"/>
    <w:qFormat/>
    <w:uiPriority w:val="0"/>
    <w:rPr>
      <w:color w:val="555555"/>
      <w:sz w:val="16"/>
      <w:szCs w:val="16"/>
    </w:rPr>
  </w:style>
  <w:style w:type="character" w:customStyle="1" w:styleId="32">
    <w:name w:val="kcgl_del_r"/>
    <w:qFormat/>
    <w:uiPriority w:val="0"/>
    <w:rPr>
      <w:b/>
      <w:color w:val="57AFE3"/>
      <w:shd w:val="clear" w:color="auto" w:fill="FFFFFF"/>
    </w:rPr>
  </w:style>
  <w:style w:type="character" w:customStyle="1" w:styleId="33">
    <w:name w:val="sy_nav_r1"/>
    <w:basedOn w:val="18"/>
    <w:qFormat/>
    <w:uiPriority w:val="0"/>
  </w:style>
  <w:style w:type="character" w:customStyle="1" w:styleId="34">
    <w:name w:val="Hyperlink.0"/>
    <w:qFormat/>
    <w:uiPriority w:val="0"/>
    <w:rPr>
      <w:rFonts w:ascii="宋体" w:hAnsi="宋体" w:eastAsia="宋体" w:cs="宋体"/>
      <w:sz w:val="24"/>
      <w:szCs w:val="24"/>
      <w:lang w:val="zh-TW" w:eastAsia="zh-TW"/>
    </w:rPr>
  </w:style>
  <w:style w:type="character" w:customStyle="1" w:styleId="35">
    <w:name w:val="ui-icon"/>
    <w:basedOn w:val="18"/>
    <w:qFormat/>
    <w:uiPriority w:val="0"/>
  </w:style>
  <w:style w:type="character" w:customStyle="1" w:styleId="36">
    <w:name w:val="sy_nav_r"/>
    <w:basedOn w:val="18"/>
    <w:qFormat/>
    <w:uiPriority w:val="0"/>
  </w:style>
  <w:style w:type="paragraph" w:customStyle="1" w:styleId="37">
    <w:name w:val="列出段落2"/>
    <w:basedOn w:val="1"/>
    <w:unhideWhenUsed/>
    <w:qFormat/>
    <w:uiPriority w:val="99"/>
    <w:pPr>
      <w:ind w:firstLine="420" w:firstLineChars="200"/>
    </w:pPr>
  </w:style>
  <w:style w:type="paragraph" w:customStyle="1" w:styleId="38">
    <w:name w:val="Char Char Char Char"/>
    <w:basedOn w:val="1"/>
    <w:qFormat/>
    <w:uiPriority w:val="0"/>
    <w:pPr>
      <w:spacing w:line="360" w:lineRule="auto"/>
      <w:ind w:firstLine="200" w:firstLineChars="200"/>
    </w:pPr>
  </w:style>
  <w:style w:type="paragraph" w:styleId="39">
    <w:name w:val="List Paragraph"/>
    <w:basedOn w:val="1"/>
    <w:qFormat/>
    <w:uiPriority w:val="34"/>
    <w:pPr>
      <w:ind w:firstLine="420" w:firstLineChars="200"/>
    </w:pPr>
  </w:style>
  <w:style w:type="paragraph" w:customStyle="1" w:styleId="40">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41">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42">
    <w:name w:val="Char"/>
    <w:basedOn w:val="1"/>
    <w:qFormat/>
    <w:uiPriority w:val="0"/>
    <w:pPr>
      <w:spacing w:line="360" w:lineRule="auto"/>
      <w:ind w:firstLine="480" w:firstLineChars="200"/>
    </w:pPr>
  </w:style>
  <w:style w:type="paragraph" w:customStyle="1" w:styleId="43">
    <w:name w:val="默认段落字体 Para Char Char Char Char"/>
    <w:basedOn w:val="1"/>
    <w:qFormat/>
    <w:uiPriority w:val="0"/>
  </w:style>
  <w:style w:type="paragraph" w:customStyle="1" w:styleId="44">
    <w:name w:val="正文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5">
    <w:name w:val="列出段落1"/>
    <w:basedOn w:val="1"/>
    <w:qFormat/>
    <w:uiPriority w:val="34"/>
    <w:pPr>
      <w:ind w:firstLine="420" w:firstLineChars="200"/>
    </w:pPr>
  </w:style>
  <w:style w:type="paragraph" w:customStyle="1" w:styleId="46">
    <w:name w:val="正文 第一章"/>
    <w:basedOn w:val="1"/>
    <w:next w:val="1"/>
    <w:qFormat/>
    <w:uiPriority w:val="0"/>
    <w:pPr>
      <w:pageBreakBefore/>
      <w:adjustRightInd w:val="0"/>
      <w:spacing w:before="240" w:after="240" w:line="480" w:lineRule="auto"/>
      <w:jc w:val="center"/>
      <w:textAlignment w:val="baseline"/>
      <w:outlineLvl w:val="0"/>
    </w:pPr>
    <w:rPr>
      <w:rFonts w:ascii="黑体" w:hAnsi="宋体" w:eastAsia="黑体"/>
      <w:kern w:val="0"/>
      <w:sz w:val="36"/>
      <w:szCs w:val="21"/>
    </w:rPr>
  </w:style>
  <w:style w:type="paragraph" w:customStyle="1" w:styleId="47">
    <w:name w:val="Style Style Style Tahoma 四号 Before:  5 pt After:  5 pt First line: ..."/>
    <w:basedOn w:val="1"/>
    <w:qFormat/>
    <w:uiPriority w:val="0"/>
    <w:pPr>
      <w:spacing w:before="100" w:after="100" w:line="360" w:lineRule="auto"/>
      <w:ind w:firstLine="480" w:firstLineChars="200"/>
    </w:pPr>
    <w:rPr>
      <w:rFonts w:ascii="Tahoma" w:hAnsi="Tahoma" w:cs="宋体"/>
      <w:sz w:val="24"/>
    </w:rPr>
  </w:style>
  <w:style w:type="paragraph" w:customStyle="1" w:styleId="48">
    <w:name w:val="正文缩进 New"/>
    <w:basedOn w:val="44"/>
    <w:qFormat/>
    <w:uiPriority w:val="0"/>
    <w:pPr>
      <w:ind w:firstLine="420" w:firstLineChars="200"/>
    </w:pPr>
  </w:style>
  <w:style w:type="paragraph" w:customStyle="1" w:styleId="49">
    <w:name w:val="纯文本2"/>
    <w:basedOn w:val="1"/>
    <w:qFormat/>
    <w:uiPriority w:val="0"/>
    <w:pPr>
      <w:adjustRightInd w:val="0"/>
    </w:pPr>
    <w:rPr>
      <w:rFonts w:ascii="宋体" w:hAnsi="Courier New" w:eastAsia="楷体_GB2312"/>
      <w:kern w:val="0"/>
      <w:sz w:val="26"/>
    </w:rPr>
  </w:style>
  <w:style w:type="paragraph" w:customStyle="1" w:styleId="50">
    <w:name w:val="正文_0"/>
    <w:qFormat/>
    <w:uiPriority w:val="0"/>
    <w:rPr>
      <w:rFonts w:ascii="Times New Roman" w:hAnsi="Times New Roman" w:eastAsia="等线" w:cs="等线"/>
      <w:sz w:val="21"/>
      <w:lang w:val="en-US" w:eastAsia="zh-CN" w:bidi="ar-SA"/>
    </w:rPr>
  </w:style>
  <w:style w:type="character" w:customStyle="1" w:styleId="51">
    <w:name w:val="font61"/>
    <w:basedOn w:val="18"/>
    <w:qFormat/>
    <w:uiPriority w:val="0"/>
    <w:rPr>
      <w:rFonts w:hint="eastAsia" w:ascii="宋体" w:hAnsi="宋体" w:eastAsia="宋体" w:cs="宋体"/>
      <w:color w:val="000000"/>
      <w:sz w:val="21"/>
      <w:szCs w:val="21"/>
      <w:u w:val="none"/>
    </w:rPr>
  </w:style>
  <w:style w:type="character" w:customStyle="1" w:styleId="52">
    <w:name w:val="font31"/>
    <w:basedOn w:val="18"/>
    <w:qFormat/>
    <w:uiPriority w:val="0"/>
    <w:rPr>
      <w:rFonts w:hint="eastAsia" w:ascii="宋体" w:hAnsi="宋体" w:eastAsia="宋体" w:cs="宋体"/>
      <w:color w:val="000000"/>
      <w:sz w:val="32"/>
      <w:szCs w:val="32"/>
      <w:u w:val="none"/>
    </w:rPr>
  </w:style>
  <w:style w:type="character" w:customStyle="1" w:styleId="53">
    <w:name w:val="font11"/>
    <w:basedOn w:val="18"/>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1C3148-9503-4159-B07C-368CA882DECD}">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25</Pages>
  <Words>11342</Words>
  <Characters>13391</Characters>
  <Lines>110</Lines>
  <Paragraphs>30</Paragraphs>
  <TotalTime>46</TotalTime>
  <ScaleCrop>false</ScaleCrop>
  <LinksUpToDate>false</LinksUpToDate>
  <CharactersWithSpaces>13870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2022-04-13T01:16:00Z</dcterms:created>
  <dc:creator>微软用户</dc:creator>
  <cp:lastModifiedBy>空城</cp:lastModifiedBy>
  <cp:lastPrinted>2019-10-10T07:27:00Z</cp:lastPrinted>
  <dcterms:modified xsi:type="dcterms:W3CDTF">2022-05-24T05:36:34Z</dcterms:modified>
  <dc:title>江苏商贸职业学院采购项目招标文件模板</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4E450DAA144D4B90993977F174339987</vt:lpwstr>
  </property>
</Properties>
</file>