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126" w:tblpY="604"/>
        <w:tblOverlap w:val="never"/>
        <w:tblW w:w="156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0"/>
        <w:gridCol w:w="2040"/>
        <w:gridCol w:w="690"/>
        <w:gridCol w:w="10425"/>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设备名称</w:t>
            </w:r>
          </w:p>
        </w:tc>
        <w:tc>
          <w:tcPr>
            <w:tcW w:w="6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1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4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腔镜器械一批</w:t>
            </w:r>
          </w:p>
        </w:tc>
        <w:tc>
          <w:tcPr>
            <w:tcW w:w="69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1批</w:t>
            </w:r>
          </w:p>
        </w:tc>
        <w:tc>
          <w:tcPr>
            <w:tcW w:w="104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详见明细表</w:t>
            </w:r>
          </w:p>
        </w:tc>
        <w:tc>
          <w:tcPr>
            <w:tcW w:w="192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"1  腔镜器械一批.xlsx"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1  腔镜器械一批.xlsx</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540" w:type="dxa"/>
            <w:tcBorders>
              <w:top w:val="single" w:color="auto"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04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输血输液加压仪</w:t>
            </w:r>
          </w:p>
        </w:tc>
        <w:tc>
          <w:tcPr>
            <w:tcW w:w="69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42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1.自动加压，无需外置加压泵和机械压力柱。</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2.主机内置压力自动保护与监控装置，工作状态中可以进行快速放气与充气，保持压力值稳定，无需配置具有机械压力柱的加压袋。</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 内置充电电池供电。</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 屏幕实时显示电量图标，提示电量状态。</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 一键暂停，自动泄压。</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6、具有多重保护报警功能，有过压报警提醒声音和屏幕显示。</w:t>
            </w:r>
          </w:p>
        </w:tc>
        <w:tc>
          <w:tcPr>
            <w:tcW w:w="1923" w:type="dxa"/>
            <w:tcBorders>
              <w:top w:val="single" w:color="auto"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电流感觉阈值检测仪（CPT)感觉神经定量检测仪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1.具有全自动、半自动和手动测试模式以及双盲和单盲测试方法的感觉神经传导阈值检测仪。</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2.内建神经选择性的感觉神经传导阈值测试模式、疼痛耐受阈值测试模式和区段电流感觉阈值测试模式，并提供实验室研究用的自动化非创伤性的动物反应阈值测试模式。</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3.由充电电池供电运作，并配有打印机、遥控器及配套 的CPT 分析及资料库软件。</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4.测试数据都与临床确立的标准数据进行全面的对比分析，并作出报告。</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加压器（蠕动泵）</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1.滚动挤压泵产生大流量脉冲水流。</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2.冲洗液管可以高温高压消毒。</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3.压力可以根据需要进行调节设定，也可以进行实时监控。</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4.电压：AC100V-240V  50/60Hz、功率：80W、压力调节范围：0-250mmHg 、流量调节范围：0-2200ml/min</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病员加温系统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1.控制器采用重量轻、转换效率高、安全性能高的开关电源。</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2.双重过温保护装置、多种安全报警装置及过流保护。</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3.输出温度35-40℃超温报警：41.5℃±0.5℃。</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4.病员加温系统加温垫（毯）防水等级≥IPX8，加温垫（毯）可沉浸在2米水深长时间不进水。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5.发热材料由整面发热均匀、无冷热点的碳纤维布制成，非碳纤维织物，非碳纤维丝或碳纤维发热线。</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6.加温毯由接触层、舒适层、绝缘层（双层）、发热层、保温层、缓冲层等7层结构组成。</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7.加温毯具有阻燃性。</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麻醉深度监测仪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1.具备麻醉意识指数、信号质量指数、肌电指数实时监测：范围0~100。</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2.同屏脑电波显示功能：支持脑电图显示，实时显示原始脑电波形兼脑电频谱图。</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3.爆发抑制比（BSR）：范围0～100％，实时监测记录。</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4.Ai趋势图：实时观察脑镇定程度的量化指数的变化趋势。</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5.具备超强滤波功能、数据存储、导出功能、日志显示功能、打印功能、报警限制功能、传感器数据显示功能、传感器数据显示功能、自动诊断功能、病例演示功能、内置数据回放等。</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输血输液加温器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1、加热模式：全程包裹式加温，液体管路无裸露部分，加温后液体直接输入人</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体，热量不流失，适合寒冷环境使用。</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2、温度可调范围： 33℃-41℃，连续可调，增率0.1℃，控温精度为0.1℃。</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3、控制器显示设定温度、实时温度、加热时间、报警信息</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4、屏幕监测数据至少包括：加热时间，设定温度，加热温度，故障信息。</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5、直接加温常规输血输液管路，无需特殊耗材，节约使用成本。</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6、加热系统：可同时连接两条加热管，可单独设定每条加热管的温度并恒温控制。</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7、预热时间：从20℃-36℃小于2分钟。</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光学显微镜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1.研究级正置显微镜，可作明场和荧光的观察。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2.光学系统：齐焦距离为国际标准45mm。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3.观察镜筒：人机工程学可倾斜三目观察筒，倾角0-30°可调。</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4.物镜：10X、20X、40X、100X</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5.物镜转换器：六孔位物镜转换器。    </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6.摄影图像保存系统</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耳鼻喉科手术器械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1批</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详见明细表</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"9  耳鼻喉科手术器械明细.xlsx"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9  耳鼻喉科手术器械明细.xlsx</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鼻内镜成像系统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1.全高清摄像主机， 网络实时直播功能。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2.高清摄像头，光学变焦，摄像拍照均可在摄像头上完成。</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3.全高清液晶显示屏。</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 LED冷光源，使用时间4万小时以上，LCD智能触摸操作界面，智能调光。</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5.内窥镜工作站含图文信息管理系统。 </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6.配套国产内镜（含鼻内镜、耳内镜及硬性喉镜）、医用台车等。</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电子膀胱镜系统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1.一体式影像控制器集成：包括摄像控制器，高亮度 LED 冷光源，高分辨率监视器，适配同品牌电子内窥镜。</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2.兼容全高清光学镜摄像头，可适配所有品牌的硬性光学镜或纤维软性镜。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3.输出分辨率：1920×1080 （30Hz）、1.5、输出接口：DVI×1，HD-SDI×2、灯泡色温：5000K-6500K。</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4.具备图像冻结和解除冻结功能，录像和拍照存储功能，也可换接SD卡或图像工作站。 </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5.配置含电子膀胱肾盂内窥镜 、电子输尿管软性内窥镜</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体外冲击波碎石机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1.配置电磁式冲击波源： 高压放电范围： </w:t>
            </w:r>
            <w:r>
              <w:rPr>
                <w:rFonts w:hint="eastAsia" w:ascii="宋体" w:hAnsi="宋体"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~17kV、 冲击波能量范围：60~160J、第二焦点冲击波压缩声压峰值30~80MPa、 焦斑范围  10×10×±100mm、一体化智能高频高压逆变电源系统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 一键式焦点可视化智能自动快速定靶系统及电动定靶系统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3.一键式智能自动定靶操作系统+电动定靶操作系统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4.无障碍移位装置</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5.治疗床为分体式治疗床、一键式智能自动完成三维六向运动、一键式智能自动复位、三维运动幅度、床面离地面最低720mm、治疗床最大载重达120kg、运动精度≤2mm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6.具备水循环装置、水自动去气装置、超温报警和保护装置</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7、具有定位B超(全数字台式超声诊断系统):标配腹部碎石探头，具备泌尿碎石专用软件</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口腔专用设备</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ascii="Tahoma" w:hAnsi="Tahoma" w:eastAsia="Tahoma" w:cs="Tahoma"/>
                <w:b/>
                <w:bCs/>
                <w:i w:val="0"/>
                <w:iCs w:val="0"/>
                <w:color w:val="000000"/>
                <w:kern w:val="0"/>
                <w:sz w:val="22"/>
                <w:szCs w:val="22"/>
                <w:u w:val="none"/>
                <w:lang w:val="en-US" w:eastAsia="zh-CN" w:bidi="ar"/>
              </w:rPr>
              <w:t>1</w:t>
            </w:r>
            <w:r>
              <w:rPr>
                <w:rStyle w:val="5"/>
                <w:lang w:val="en-US" w:eastAsia="zh-CN" w:bidi="ar"/>
              </w:rPr>
              <w:t>批</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详见明细表</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"13  口腔科采购设备明细.xlsx"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13  口腔科采购设备明细.xlsx</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5"/>
                <w:lang w:val="en-US" w:eastAsia="zh-CN" w:bidi="ar"/>
              </w:rPr>
              <w:t>负20℃冰箱1台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箱内温度可达-20~-40℃，有温度显示屏；内有抽屉设计，有高低温报警功能、传感器故障报警功能及断电报警功能等；配备双锁，底部有脚轮，可轻松移动。</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远红外线宽谱治疗仪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1、远红外峰值能量波长范围：2～10μm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2、液晶屏显示，触摸屏操作</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3、出光口面积：≥300cm2</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4、治疗强度≥5档可调</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5、电子定时、定时范围：0-99min8、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6、竖直升降功能：金属软臂手动调节</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7、升降距离：≥50cm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8、角度调节：二维,±90度</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9、有过温保护功能</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10、整机光源电功率：≥130W</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结肠灌肠透析治疗机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1.主机采用计算机控制系统，彩色液晶显示屏，具有药液配置、治疗方案程序设定、病人信息系统、故障自动诊断等功能。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2.温度设置范围：15℃－45℃, 测温误差：±2℃，内置PID恒温智能控制系统，加热方式为水电隔离管路加热。</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3.流量控制方式：0－1.5L/min；可通过计算机自动与外部手动双重方式连续调节流量。</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4.治疗时间控制：可按治疗需要设定注液时间、间歇时间，总治疗时间，任意可调。</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5.温度、液量、压力时间等参数实时显示。具有超温报警、阻塞、液尽报警，阻塞报警功能。</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6.内置水处理系统，自动加液并带溢出控制装置。</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04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全自动免疫组化染色机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1.所有步骤全自动处理，无需人工干预；烤片温度及时间可自由设置。</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2.多功能染色。</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3.三个独立的玻片架。</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4.玻片容量≥30张玻片，每个玻片具有不同的抗原修复条件；机载小容量试剂瓶数量≥36个。</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5.可即时添加辅助试剂和一抗，二抗。</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6.所有缓冲液及废液试剂容量都从外部可见；具备试剂和切片自检系统。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7.试剂侧面滴加方式。</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8.真空负压抽吸；分开收集有害废液和无害废液；</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04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原位杂交仪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1.样本可每次同时处理12张切片。</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2.处理时间可持续100小时。</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3.控温范围30-99℃、快速升温37-95℃（2分钟之内）、快速冷却95-37℃（5分钟之内）、温差在设定温度±1℃。</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4.多种使用者自定义的程序；具备变性/杂交模式、杂交模式和固定温度模式等操作模式。</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04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全自动染色封片一体机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1.染色速度≥240张/小时，封片速度≥570张/小时（含干片）和≥660张/小时（不含干片）；</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2.双染双封，染色双机械臂同时运行增加染色速度，可同时自动进行H&amp;E封片的同时可进行其他样品的封片。</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3.具备RFID射频识别技术，实时监测试剂效期、批次和消耗。</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4.带有切片计数功能试剂管理系统。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5.可自动进行染缸布局，自动扫描液面高度，程序兼容性检测功能。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6.内置烤箱容纳≥6个染色架（≥180张玻片），可进行自动烤片。</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7.具有自动识别以及废弃破损玻片功能，同时不停止封片过程。</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8.染色单元和封片单元可独立使用。</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9.具备双重废气过滤排放系统。</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04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过氧化氢等离子灭菌器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1.总容积： ≥135L。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2.有效使用容积： ≥110L。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3.采用优质航空铝材3003，厚度≥8mm。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4.采用顶杆驱动式电动升降门。</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5.加热膜数量≥2个，门板温度维持在50±2℃。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6.真空泵工作压强范围为101325~1.33×10-2Pa、设有真空泵相序保护器。</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7.过氧化氢加注采用卡匣式。</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8.具备过氧化氢提纯功能、排气油雾过滤系统、排气过氧化氢气体过滤系统、倒计时显示功能。</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9.设有全循环、快速循环和软镜循环三种程序。</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短波紫外线治疗仪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1.紫外线辐射波长：辐射波峰值波长为253.7nm，误差为±0.3nm。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2.连续使用1000小时后，各类型照射器紫外线辐照强度维持率≥95%。</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3.治疗时间：0s～100s可调，步长1s，误差为±2%。</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4.紫外线输出光源纯度：253.7nm的紫外线辐照强度&gt;90%。</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5.紫外线最大辐射剂量≤2J/cm2。</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04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多参数生物反馈仪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1.脑电（EEG）采集器电压测量误差应不超过±10%范围。</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2.共模抑制比：各通道不小于80dB。</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3.耐极化电压幅值偏差不超过标准方波的±5％范围。</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4.时间间隔误差不超过±5％范围。</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5.细胞毒性:≤1级。</w:t>
            </w: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6.具备视频连续播放反馈软件、图片抓取播放反馈软件、伪差鉴别功能、双屏显示、针对不同疾病的训练方案、同屏同步实时存储回放功能、多种评估功能。</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040" w:type="dxa"/>
            <w:tcBorders>
              <w:top w:val="single" w:color="000000" w:sz="4" w:space="0"/>
              <w:left w:val="nil"/>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超声波骨密度分析仪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1.超声波探头中心频率0.55MHz±0.055MHz。</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2.超声波穿透法，全干式测量。</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3.扫描时间：≤10秒。</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4.测量重复性误差(CV.%)≤1.0%（SOS≤1.0%, BUA≤1.0% ) 。</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5.具有小腿托架、脚部定位器及四种规格的脚垫进行测量时的定位支撑。</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6.有校准模块，提供日常质量控制和校准。</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7.测量范围：0-19，20-100岁。</w:t>
            </w:r>
          </w:p>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8.具备骨密度打印报告软件、儿童/成人骨密度测量软件、儿童生长发育预测软件、FRAX骨折风险评估软件、 历史趋势对比软件</w:t>
            </w:r>
          </w:p>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9.工作电压：AC 100V～240V，50/60Hz</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儿童综合发展评价系统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1.四核工业级电脑主机，内存：≥4G，硬盘：≥120G，USB高速接口。</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2.具备儿童智力测试、儿童注意力训练、儿童生长发育测评、儿童心理健康测评、儿童膳食营养指导、儿童健康检查记录软件</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内脏脂肪测量装置</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1.测量范围：5cm2-500cm2，最小显示单位1 cm2。</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2.专用腹部测量单元检测，腹围周长测量范围：65cm-120cm。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3.测量时间：≤5秒钟。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4.双重生物电阻抗技术检测。</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5.测量频率：50KHZ±5%。</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6.测量电流：500ｕArms±50ｕArms。</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7.软件终身免费升级维护。</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动脉硬化检测装置</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1.具有血管狭窄检测、血管硬化检测、糖尿病足检测、自主神经功能检测、心功能检测、E心电、心音、收缩压、舒张压、平均压、脉搏容积记录、心脏功能评价、心率、 射血前期、射血时间、射血指数、自主神经功能等。</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2.具有外周血管压力波动同步检测技术、双层线性膨胀传感器技术、滤波功能、心脏起搏器模式等。</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糖尿病运动智慧干预一体机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1.具备健康管理工作站软件、健康服务系统软件、医护软件、健康软件、运动心肺功能测试系统（运动平板）、功率车、心血管功能测试仪、上肢肌肉力量训练器、下肢肌肉力量训练器、人体成分分析仪等</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2、软件终身免费升级维护。</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宫内刨削套件</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详见明细表</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80008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"28  宫内刨削套件明细.xls" </w:instrText>
            </w:r>
            <w:r>
              <w:rPr>
                <w:rFonts w:hint="eastAsia" w:ascii="宋体" w:hAnsi="宋体" w:eastAsia="宋体" w:cs="宋体"/>
                <w:i w:val="0"/>
                <w:iCs w:val="0"/>
                <w:kern w:val="0"/>
                <w:sz w:val="22"/>
                <w:szCs w:val="22"/>
                <w:u w:val="single"/>
                <w:lang w:val="en-US" w:eastAsia="zh-CN" w:bidi="ar"/>
              </w:rPr>
              <w:fldChar w:fldCharType="separate"/>
            </w:r>
            <w:r>
              <w:rPr>
                <w:rStyle w:val="4"/>
                <w:rFonts w:hint="eastAsia" w:ascii="宋体" w:hAnsi="宋体" w:eastAsia="宋体" w:cs="宋体"/>
                <w:i w:val="0"/>
                <w:iCs w:val="0"/>
                <w:sz w:val="22"/>
                <w:szCs w:val="22"/>
                <w:u w:val="single"/>
              </w:rPr>
              <w:t>28  宫内刨削套件明细.xls</w:t>
            </w:r>
            <w:r>
              <w:rPr>
                <w:rFonts w:hint="eastAsia" w:ascii="宋体" w:hAnsi="宋体" w:eastAsia="宋体" w:cs="宋体"/>
                <w:i w:val="0"/>
                <w:iCs w:val="0"/>
                <w:kern w:val="0"/>
                <w:sz w:val="22"/>
                <w:szCs w:val="22"/>
                <w:u w:val="single"/>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干式荧光免疫分析</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1.开机时间：1分钟。</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2.首份结果时间：≤10分钟。</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3.急诊样本最快时间：≤10分钟。</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4.最大检测速度：≥135 T/H。</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5.样本位：≥8*5个，支持不停机持续添加样本。</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6.Tip头装载量：单次装载不低于192个。</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7.样本类型：全血（需支持自动混匀），血清，血浆。</w:t>
            </w:r>
          </w:p>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8.试剂数量：同时可装载试剂项目数≥7，总测试量≥600测试。</w:t>
            </w:r>
          </w:p>
        </w:tc>
        <w:tc>
          <w:tcPr>
            <w:tcW w:w="19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2"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碘元素检测仪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1.相关系数：(R)≥0.999 </w:t>
            </w:r>
            <w:r>
              <w:rPr>
                <w:rFonts w:hint="eastAsia" w:ascii="宋体" w:hAnsi="宋体"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 xml:space="preserve">  检测范围:尿碘30-2000μg/L </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3.灵敏度：最小响应值为≥1μg/L的碘含量 </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 4.加注器精度：定量加注，相对偏差(RD)在±2%以内</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 xml:space="preserve">5.重复性：变异系数（CV）≤6%  </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   </w:t>
            </w:r>
            <w:r>
              <w:rPr>
                <w:rFonts w:hint="eastAsia" w:ascii="宋体" w:hAnsi="宋体"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.准确度：测定国家碘标准物质，测定值在其允许范围内</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 xml:space="preserve">.全自动操作：使用者只需加入待测样品且样品无需前处理，整个分析过程仪器自动完成， 1小时左右可检测50份样品 </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8.安全性：仪器的安全符合GB4793.1-2007、GB4793.9-2013和YY0648-2008适用要求</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9.产品组成：由主机部件、电脑及软件控制系统组成。软件可升级扩展</w:t>
            </w:r>
            <w:r>
              <w:rPr>
                <w:rFonts w:hint="eastAsia" w:ascii="宋体" w:hAnsi="宋体" w:cs="宋体"/>
                <w:b/>
                <w:bCs/>
                <w:i w:val="0"/>
                <w:iCs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全自动免疫分析仪+轨道</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1.免疫方法学：采用电化学发光或直接化学发光。</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2.单模块检测速度：≥300测试/小时、单模块试剂通道：≥45个，自带5-10℃冷藏功能。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3.具备样品凝块检出功能及样品探针堵孔报警和防碰撞功能、试管液面探测技术。</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4.采用轨道进样模式，同时在机样本管数量≥300个，并可连续装载。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5.可在任何时间即时插入STAT急诊样品，即时测试，急诊项目检测时间≤9分钟.</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6.可以支持不停机的状态连续装载试剂盒及辅助耗材，试剂包装≥100测试，减少操作时间。</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7.试剂上机开瓶有效期大于100天。8.轨道传输速度＞2000管/小时，五管架式运输或单管运输。</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9.轨道运输时无需试管条码扫描，由轨道进入分析仪无需转换底座。</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10.轨道无需预留分析仪接口，可随时拓展连接生化免疫检测仪器.</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高能红外线治疗仪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1.能量主要分布范围400-1400nm，可产生WIRA光</w:t>
            </w:r>
            <w:r>
              <w:rPr>
                <w:rFonts w:hint="eastAsia" w:ascii="宋体" w:hAnsi="宋体" w:cs="宋体"/>
                <w:b/>
                <w:bCs/>
                <w:i w:val="0"/>
                <w:iCs w:val="0"/>
                <w:color w:val="000000"/>
                <w:kern w:val="0"/>
                <w:sz w:val="22"/>
                <w:szCs w:val="22"/>
                <w:u w:val="none"/>
                <w:lang w:val="en-US" w:eastAsia="zh-CN" w:bidi="ar"/>
              </w:rPr>
              <w:t>。</w:t>
            </w:r>
            <w:r>
              <w:rPr>
                <w:rFonts w:hint="eastAsia" w:ascii="宋体" w:hAnsi="宋体" w:eastAsia="宋体" w:cs="宋体"/>
                <w:b/>
                <w:bCs/>
                <w:i w:val="0"/>
                <w:iCs w:val="0"/>
                <w:color w:val="000000"/>
                <w:kern w:val="0"/>
                <w:sz w:val="22"/>
                <w:szCs w:val="22"/>
                <w:u w:val="none"/>
                <w:lang w:val="en-US" w:eastAsia="zh-CN" w:bidi="ar"/>
              </w:rPr>
              <w:t>2.光源功率：≥730W、输入功率：≤900W</w:t>
            </w:r>
            <w:r>
              <w:rPr>
                <w:rFonts w:hint="eastAsia" w:ascii="宋体" w:hAnsi="宋体" w:cs="宋体"/>
                <w:b/>
                <w:bCs/>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3.光功率密度：出光口平面中心处光功率密度应≥800mw/㎝²</w:t>
            </w:r>
            <w:r>
              <w:rPr>
                <w:rFonts w:hint="eastAsia" w:ascii="宋体" w:hAnsi="宋体" w:cs="宋体"/>
                <w:b/>
                <w:bCs/>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4.出光口面积：≥100㎝²、有效照射面积：≥800㎝²、治疗深度：≥15cm</w:t>
            </w:r>
          </w:p>
          <w:p>
            <w:pPr>
              <w:keepNext w:val="0"/>
              <w:keepLines w:val="0"/>
              <w:widowControl/>
              <w:suppressLineNumbers w:val="0"/>
              <w:jc w:val="left"/>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5.升降方式：电动升降调整治疗高度，最大治疗高度≥1500mm</w:t>
            </w:r>
            <w:r>
              <w:rPr>
                <w:rFonts w:hint="eastAsia" w:ascii="宋体" w:hAnsi="宋体" w:cs="宋体"/>
                <w:b/>
                <w:bCs/>
                <w:i w:val="0"/>
                <w:iCs w:val="0"/>
                <w:color w:val="000000"/>
                <w:kern w:val="0"/>
                <w:sz w:val="22"/>
                <w:szCs w:val="22"/>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6.治疗头调整：水平旋转角度≥90°，竖直旋转角度≥90°</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7.具有定时模式、过热保护、倾倒断电保护、软件升级接口</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神经外科脑牵开器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1.合金亚光材质，不反光，球状牙槽连接器可与任何品牌的手术床匹配。</w:t>
            </w:r>
          </w:p>
          <w:p>
            <w:pPr>
              <w:keepNext w:val="0"/>
              <w:keepLines w:val="0"/>
              <w:widowControl/>
              <w:suppressLineNumbers w:val="0"/>
              <w:jc w:val="left"/>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2.张力臂连接头可旋转，可同时连接两根以上张力臂。</w:t>
            </w:r>
          </w:p>
          <w:p>
            <w:pPr>
              <w:keepNext w:val="0"/>
              <w:keepLines w:val="0"/>
              <w:widowControl/>
              <w:suppressLineNumbers w:val="0"/>
              <w:jc w:val="left"/>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3.固定底座1个、连接器1套、蛇形臂2根 、支撑杆1个、脑压板接头2个。</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神经外科动力系统配件</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1、与现有医院设备相兼容;</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2、马达类型：高速电钻马达, 耐高温高压消毒；</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3、钻头安装类型≤3步安装。</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4、马达长度≤9.1CM，马达直径EHS≤2.3CM、马达最高转速≥120000 RPM，可正反转、马达最大输出功率≥138W，马达最大扭矩：≥41mN-m。</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5、可预真空或常规蒸气高温高压消毒或环氧乙烷消毒。</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6、马达6万转/分20秒开20秒关，持续25分钟马达表面温度≤40°C，马达不需水冷却。</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7、附件：可旋转铣刀附件、可调节长度附件、弯钻头。</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8、专业显微管道≥8种。</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9、钻头：拥有≥300种不同形状、不同型号的钻头可满足各科手术选择。</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术中神经监测系统</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1.通道数≥16、灵敏度：EP：0.01uV—20mV，40级可调、 EMG：10，20，50，100，200，400uV，1，2，5mV每格可调、高频滤波：2-pole (12dB/octave)、低频滤波：2-pole、 (12dB/octave)、隔离模式抑制比：&gt;115dB、共模抑制比：&gt;110dB、</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2.电刺激器采用恒流、恒压分离设计；保证电刺激的安全性能。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3.声音刺激器：刺激声强范围：-10-80dB nHL范围内分档可调，调节步长1dB、刺激频率为：0.5pps-30pps(脉冲/秒)范围内分档可调。</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4.视觉刺激器： 刺激器类型：LED闪光眼罩刺激器、刺激频率：1-10Hz、屏噪声：0-55dB。</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5.软件功能要求免费终身升级、监测项目包括脑电图、肌电图、体感诱发电位、运动诱发电位、脑干听觉诱发电位、视觉诱发电位、神经肌肉传递功能等。</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超声波治疗仪</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1.输出模式需包含连续输出和脉冲输出。</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2.输出频率16Hz，48Hz和100Hz、脉宽：0.5ms-50ms、超声频率单头需可实现双频输出：1 MHz和3 MHz。</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3.有效声强：0-2W/cm²持续，0-3W/cm²脉冲。</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4.具有治疗信息，包含文字信息，人体彩图部位信息，人体解剖图信息，方便治疗人员学习和找准治疗部位。</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5.实时显示治疗输出剂量，输出剂量应可随着探头与皮肤的接触面积变化而变化，以保证单位面积内输出能量稳定。</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6.带有自动报警功能、自检修复功能。</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7.探头：需配有5cm²探头（探头为防浸式设计，可用于水下治疗）。</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8.超声探头接触面积需可以重新校准。</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540" w:type="dxa"/>
            <w:tcBorders>
              <w:top w:val="single" w:color="000000" w:sz="4" w:space="0"/>
              <w:left w:val="single" w:color="000000" w:sz="8"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智能采血台</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04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1.具备从医院HIS/LIS系统下载、反馈、记录等采血相关信息的功能，软件终身免费升级。</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按照医院场地灵活配制长度合适的采血工位、3.配置服务器1套，主频≥2.6G,内存2G,显示器≥19寸，硬盘≥500G、快速地输送试管标本，输送速度2-20m/min（可调）、采血桌可选配嵌入式自动混匀装置及生物安全防护装置。</w:t>
            </w:r>
          </w:p>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3.根据医院需求进行量身定做患者自动登记排队系统。</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4.智能真空采血管备管机，具备按照采血相关信息，自动在采血管仓中选择出正确的采血管的功能并打印、自动黏贴</w:t>
            </w:r>
            <w:r>
              <w:rPr>
                <w:rFonts w:hint="eastAsia" w:ascii="宋体" w:hAnsi="宋体" w:cs="宋体"/>
                <w:b/>
                <w:bCs/>
                <w:i w:val="0"/>
                <w:iCs w:val="0"/>
                <w:color w:val="000000"/>
                <w:kern w:val="0"/>
                <w:sz w:val="22"/>
                <w:szCs w:val="22"/>
                <w:u w:val="none"/>
                <w:lang w:val="en-US" w:eastAsia="zh-CN" w:bidi="ar"/>
              </w:rPr>
              <w:t>。</w:t>
            </w:r>
          </w:p>
        </w:tc>
        <w:tc>
          <w:tcPr>
            <w:tcW w:w="1923" w:type="dxa"/>
            <w:tcBorders>
              <w:top w:val="single" w:color="000000" w:sz="4" w:space="0"/>
              <w:left w:val="single" w:color="000000" w:sz="4" w:space="0"/>
              <w:bottom w:val="single" w:color="000000" w:sz="4" w:space="0"/>
              <w:right w:val="single" w:color="000000" w:sz="8" w:space="0"/>
            </w:tcBorders>
            <w:shd w:val="clear" w:color="auto" w:fill="FFFFFF"/>
            <w:noWrap w:val="0"/>
            <w:vAlign w:val="center"/>
          </w:tcPr>
          <w:p>
            <w:pPr>
              <w:jc w:val="center"/>
              <w:rPr>
                <w:rFonts w:hint="eastAsia" w:ascii="宋体" w:hAnsi="宋体" w:eastAsia="宋体" w:cs="宋体"/>
                <w:b/>
                <w:bCs/>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YmVhN2RjZWYxMmJmZWM4ZTg2ODMwMjU4ZTNkYjQifQ=="/>
  </w:docVars>
  <w:rsids>
    <w:rsidRoot w:val="5B556CF6"/>
    <w:rsid w:val="029E312F"/>
    <w:rsid w:val="03913025"/>
    <w:rsid w:val="21D22B02"/>
    <w:rsid w:val="289C2625"/>
    <w:rsid w:val="5B556CF6"/>
    <w:rsid w:val="7C686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31"/>
    <w:basedOn w:val="3"/>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6049</Words>
  <Characters>6995</Characters>
  <Lines>0</Lines>
  <Paragraphs>0</Paragraphs>
  <TotalTime>2</TotalTime>
  <ScaleCrop>false</ScaleCrop>
  <LinksUpToDate>false</LinksUpToDate>
  <CharactersWithSpaces>7254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2022-06-14T00:42:00Z</dcterms:created>
  <dc:creator>Lily</dc:creator>
  <cp:lastModifiedBy>Lily</cp:lastModifiedBy>
  <dcterms:modified xsi:type="dcterms:W3CDTF">2022-06-17T02:15:46Z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D04084A55EDC4C848BB38C24DC48CDF8</vt:lpwstr>
  </property>
</Properties>
</file>